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bCs/>
          <w:sz w:val="24"/>
          <w:szCs w:val="24"/>
        </w:rPr>
      </w:pPr>
      <w:r>
        <w:rPr>
          <w:b/>
          <w:bCs/>
          <w:sz w:val="24"/>
          <w:szCs w:val="24"/>
        </w:rPr>
        <w:t>Naziv: DJEČJI VRTIĆ GRADAC</w:t>
        <w:tab/>
        <w:tab/>
        <w:tab/>
        <w:tab/>
        <w:tab/>
        <w:tab/>
        <w:t>Razina: 21</w:t>
        <w:tab/>
      </w:r>
    </w:p>
    <w:p>
      <w:pPr>
        <w:pStyle w:val="Normal"/>
        <w:rPr>
          <w:b/>
          <w:b/>
          <w:bCs/>
          <w:sz w:val="24"/>
          <w:szCs w:val="24"/>
        </w:rPr>
      </w:pPr>
      <w:r>
        <w:rPr>
          <w:b/>
          <w:bCs/>
          <w:sz w:val="24"/>
          <w:szCs w:val="24"/>
        </w:rPr>
        <w:t>Adresa: Jadranska 107a, 21330 Gradac</w:t>
        <w:tab/>
        <w:tab/>
        <w:tab/>
        <w:tab/>
        <w:t>RKP: 30550</w:t>
        <w:tab/>
        <w:tab/>
      </w:r>
    </w:p>
    <w:p>
      <w:pPr>
        <w:pStyle w:val="Normal"/>
        <w:rPr>
          <w:b/>
          <w:b/>
          <w:bCs/>
          <w:sz w:val="24"/>
          <w:szCs w:val="24"/>
        </w:rPr>
      </w:pPr>
      <w:r>
        <w:rPr>
          <w:b/>
          <w:bCs/>
          <w:sz w:val="24"/>
          <w:szCs w:val="24"/>
        </w:rPr>
        <w:t>OIB:  31046492174</w:t>
        <w:tab/>
        <w:tab/>
        <w:tab/>
        <w:tab/>
        <w:tab/>
        <w:t xml:space="preserve">                          Šifra djelatnosti: 8510              </w:t>
      </w:r>
    </w:p>
    <w:p>
      <w:pPr>
        <w:pStyle w:val="Normal"/>
        <w:rPr>
          <w:b/>
          <w:b/>
          <w:bCs/>
          <w:sz w:val="24"/>
          <w:szCs w:val="24"/>
        </w:rPr>
      </w:pPr>
      <w:r>
        <w:rPr>
          <w:b/>
          <w:bCs/>
          <w:sz w:val="24"/>
          <w:szCs w:val="24"/>
        </w:rPr>
        <w:t>Matični broj: 01272152</w:t>
        <w:tab/>
        <w:tab/>
        <w:tab/>
        <w:tab/>
        <w:tab/>
        <w:tab/>
        <w:t xml:space="preserve"> </w:t>
      </w:r>
    </w:p>
    <w:p>
      <w:pPr>
        <w:pStyle w:val="Normal"/>
        <w:rPr>
          <w:b/>
          <w:b/>
          <w:bCs/>
          <w:sz w:val="28"/>
          <w:szCs w:val="28"/>
        </w:rPr>
      </w:pPr>
      <w:r>
        <w:rPr>
          <w:b/>
          <w:bCs/>
          <w:sz w:val="28"/>
          <w:szCs w:val="28"/>
        </w:rPr>
      </w:r>
    </w:p>
    <w:p>
      <w:pPr>
        <w:pStyle w:val="Normal"/>
        <w:jc w:val="center"/>
        <w:rPr>
          <w:b/>
          <w:b/>
          <w:bCs/>
          <w:sz w:val="28"/>
          <w:szCs w:val="28"/>
        </w:rPr>
      </w:pPr>
      <w:r>
        <w:rPr>
          <w:b/>
          <w:bCs/>
          <w:sz w:val="28"/>
          <w:szCs w:val="28"/>
        </w:rPr>
      </w:r>
    </w:p>
    <w:p>
      <w:pPr>
        <w:pStyle w:val="Normal"/>
        <w:jc w:val="center"/>
        <w:rPr>
          <w:b/>
          <w:b/>
          <w:bCs/>
          <w:sz w:val="30"/>
          <w:szCs w:val="30"/>
        </w:rPr>
      </w:pPr>
      <w:r>
        <w:rPr>
          <w:b/>
          <w:bCs/>
          <w:sz w:val="30"/>
          <w:szCs w:val="30"/>
        </w:rPr>
        <w:t>IZVJEŠTAJ O IZVRŠENJU PRORAČUNA ZA 2024.</w:t>
      </w:r>
    </w:p>
    <w:p>
      <w:pPr>
        <w:pStyle w:val="Normal"/>
        <w:rPr>
          <w:b/>
          <w:b/>
          <w:bCs/>
          <w:sz w:val="28"/>
          <w:szCs w:val="28"/>
        </w:rPr>
      </w:pPr>
      <w:r>
        <w:rPr>
          <w:b/>
          <w:bCs/>
          <w:sz w:val="28"/>
          <w:szCs w:val="28"/>
        </w:rPr>
      </w:r>
    </w:p>
    <w:p>
      <w:pPr>
        <w:pStyle w:val="Normal"/>
        <w:spacing w:lineRule="auto" w:line="252" w:before="0" w:after="0"/>
        <w:jc w:val="both"/>
        <w:rPr>
          <w:rFonts w:ascii="Times New Roman" w:hAnsi="Times New Roman"/>
          <w:sz w:val="24"/>
        </w:rPr>
      </w:pPr>
      <w:r>
        <w:rPr>
          <w:rFonts w:ascii="Times New Roman" w:hAnsi="Times New Roman"/>
          <w:sz w:val="24"/>
        </w:rPr>
        <w:t>Godišnji izvještaj o izvršenju proračuna proračunskog korisnika Dječjeg vrtića Gradac donosi se u skladu s člankom 81. Zakona o proračunu („Narodne novine“ broj 144/21) i odredbama Pravilnika o polugodišnjem i godišnjem izvještaju o izvršenju proračuna (''Narodne novine'' broj 85/2023).</w:t>
      </w:r>
    </w:p>
    <w:p>
      <w:pPr>
        <w:pStyle w:val="Normal"/>
        <w:spacing w:lineRule="auto" w:line="252" w:before="0" w:after="0"/>
        <w:jc w:val="both"/>
        <w:rPr>
          <w:rFonts w:ascii="Times New Roman" w:hAnsi="Times New Roman"/>
          <w:sz w:val="24"/>
        </w:rPr>
      </w:pPr>
      <w:r>
        <w:rPr>
          <w:rFonts w:ascii="Times New Roman" w:hAnsi="Times New Roman"/>
          <w:sz w:val="24"/>
        </w:rPr>
        <w:t>Sukladno članku 42., stavak 2 iz prethodno navedenog pravilnika te financijskom planu i rebalansu financijskog plana za 2024. slijedi obrazloženje općeg te posebnog dijela proračuna.</w:t>
      </w:r>
    </w:p>
    <w:p>
      <w:pPr>
        <w:pStyle w:val="Normal"/>
        <w:spacing w:lineRule="auto" w:line="252" w:before="0" w:after="0"/>
        <w:jc w:val="both"/>
        <w:rPr>
          <w:rFonts w:ascii="Times New Roman" w:hAnsi="Times New Roman"/>
          <w:sz w:val="24"/>
        </w:rPr>
      </w:pPr>
      <w:r>
        <w:rPr>
          <w:rFonts w:ascii="Times New Roman" w:hAnsi="Times New Roman"/>
          <w:sz w:val="24"/>
        </w:rPr>
      </w:r>
    </w:p>
    <w:p>
      <w:pPr>
        <w:pStyle w:val="Normal"/>
        <w:spacing w:lineRule="auto" w:line="252" w:before="0" w:after="0"/>
        <w:jc w:val="both"/>
        <w:rPr>
          <w:rFonts w:ascii="Times New Roman" w:hAnsi="Times New Roman"/>
          <w:sz w:val="24"/>
        </w:rPr>
      </w:pPr>
      <w:r>
        <w:rPr>
          <w:rFonts w:ascii="Times New Roman" w:hAnsi="Times New Roman"/>
          <w:sz w:val="24"/>
        </w:rPr>
      </w:r>
    </w:p>
    <w:p>
      <w:pPr>
        <w:pStyle w:val="Normal"/>
        <w:spacing w:lineRule="auto" w:line="252" w:before="0" w:after="0"/>
        <w:jc w:val="both"/>
        <w:rPr>
          <w:rFonts w:ascii="Times New Roman" w:hAnsi="Times New Roman"/>
          <w:b/>
          <w:b/>
          <w:bCs/>
          <w:sz w:val="26"/>
          <w:szCs w:val="26"/>
        </w:rPr>
      </w:pPr>
      <w:r>
        <w:rPr>
          <w:rFonts w:ascii="Times New Roman" w:hAnsi="Times New Roman"/>
          <w:b/>
          <w:bCs/>
          <w:sz w:val="26"/>
          <w:szCs w:val="26"/>
        </w:rPr>
        <w:t>Obrazloženje općeg dijela izvještaja o izvršenju financijskog plana proračunskog korisnika:</w:t>
      </w:r>
    </w:p>
    <w:p>
      <w:pPr>
        <w:pStyle w:val="Normal"/>
        <w:spacing w:lineRule="auto" w:line="252" w:before="0" w:after="0"/>
        <w:jc w:val="both"/>
        <w:rPr>
          <w:rFonts w:ascii="Times New Roman" w:hAnsi="Times New Roman"/>
          <w:b/>
          <w:b/>
          <w:bCs/>
          <w:sz w:val="24"/>
        </w:rPr>
      </w:pPr>
      <w:r>
        <w:rPr>
          <w:rFonts w:ascii="Times New Roman" w:hAnsi="Times New Roman"/>
          <w:b/>
          <w:bCs/>
          <w:sz w:val="24"/>
        </w:rPr>
      </w:r>
    </w:p>
    <w:p>
      <w:pPr>
        <w:pStyle w:val="Normal"/>
        <w:spacing w:lineRule="auto" w:line="252" w:before="0" w:after="0"/>
        <w:jc w:val="both"/>
        <w:rPr>
          <w:rFonts w:ascii="Times New Roman" w:hAnsi="Times New Roman"/>
          <w:b/>
          <w:b/>
          <w:bCs/>
          <w:sz w:val="24"/>
          <w:u w:val="single"/>
        </w:rPr>
      </w:pPr>
      <w:r>
        <w:rPr>
          <w:rFonts w:ascii="Times New Roman" w:hAnsi="Times New Roman"/>
          <w:b/>
          <w:bCs/>
          <w:sz w:val="24"/>
          <w:u w:val="single"/>
        </w:rPr>
        <w:t>Obrazloženje ostvarenja prihoda i rashoda, primitaka i izdataka u izvještajnom razdoblju</w:t>
      </w:r>
    </w:p>
    <w:p>
      <w:pPr>
        <w:pStyle w:val="Normal"/>
        <w:spacing w:lineRule="auto" w:line="252" w:before="0" w:after="0"/>
        <w:jc w:val="both"/>
        <w:rPr>
          <w:rFonts w:ascii="Times New Roman" w:hAnsi="Times New Roman"/>
          <w:b/>
          <w:b/>
          <w:bCs/>
          <w:sz w:val="24"/>
          <w:u w:val="single"/>
        </w:rPr>
      </w:pPr>
      <w:r>
        <w:rPr>
          <w:rFonts w:ascii="Times New Roman" w:hAnsi="Times New Roman"/>
          <w:b/>
          <w:bCs/>
          <w:sz w:val="24"/>
          <w:u w:val="single"/>
        </w:rPr>
      </w:r>
    </w:p>
    <w:p>
      <w:pPr>
        <w:pStyle w:val="Normal"/>
        <w:spacing w:lineRule="auto" w:line="252" w:before="0" w:after="0"/>
        <w:jc w:val="both"/>
        <w:rPr>
          <w:rFonts w:ascii="Times New Roman" w:hAnsi="Times New Roman"/>
          <w:sz w:val="24"/>
        </w:rPr>
      </w:pPr>
      <w:r>
        <w:rPr>
          <w:rFonts w:ascii="Times New Roman" w:hAnsi="Times New Roman"/>
          <w:sz w:val="24"/>
        </w:rPr>
        <w:t>Prihodi i primici te rashodi i izdaci evidentiraju se na temelju nastanka događaja i priznaju prema kriteriju mjerljivosti i raspoloživosti. Ukupno ostvareni prihodi u 2024. godini iznose 254.609,99€ što je 16,11% manje od plana te 5,59% manje u odnosu na isto razdoblje prethodne godine, te se navedeno najvećim dijelom odnosi na smanjenje sredstava iz nadležnog proračuna za financiranje rashoda poslovanja.</w:t>
      </w:r>
    </w:p>
    <w:p>
      <w:pPr>
        <w:pStyle w:val="Normal"/>
        <w:spacing w:lineRule="auto" w:line="252" w:before="0" w:after="0"/>
        <w:jc w:val="both"/>
        <w:rPr>
          <w:rFonts w:ascii="Times New Roman" w:hAnsi="Times New Roman"/>
          <w:sz w:val="24"/>
        </w:rPr>
      </w:pPr>
      <w:r>
        <w:rPr>
          <w:rFonts w:ascii="Times New Roman" w:hAnsi="Times New Roman"/>
          <w:sz w:val="24"/>
        </w:rPr>
      </w:r>
    </w:p>
    <w:p>
      <w:pPr>
        <w:pStyle w:val="Normal"/>
        <w:spacing w:lineRule="auto" w:line="252" w:before="0" w:after="0"/>
        <w:jc w:val="both"/>
        <w:rPr>
          <w:rFonts w:ascii="Times New Roman" w:hAnsi="Times New Roman"/>
          <w:sz w:val="24"/>
        </w:rPr>
      </w:pPr>
      <w:r>
        <w:rPr>
          <w:rFonts w:ascii="Times New Roman" w:hAnsi="Times New Roman"/>
          <w:sz w:val="24"/>
        </w:rPr>
        <w:t>Za razliku od prihoda rashodi se priznaju na temelju nastanka poslovnog događaja u izvještajnom razdoblju na koje se odnose neovisno o plaćanju. Ukupno ostvareni rashodi i izdaci u 2024. godini iznose 259.209,68€ što je 14,31% manje od planiranog te 3,24% manje u odnosu na isto razdoblje prethodne godine. Razlog smanjenja najviše se odnosi na smanjenje rashoda za materijal i energiju te rashoda za usluge jer je u tekućoj godini otvorena vlastita kuhinja vrtića, te nije bilo kao prethodnih godina troška prijevoza hrane i gotovih obroka po djetetu, što je u globalu bio veći trošak nego kupnja namirnica i priprema vlastitih obroka.</w:t>
      </w:r>
    </w:p>
    <w:p>
      <w:pPr>
        <w:pStyle w:val="Normal"/>
        <w:spacing w:lineRule="auto" w:line="252" w:before="0" w:after="0"/>
        <w:jc w:val="both"/>
        <w:rPr>
          <w:rFonts w:ascii="Times New Roman" w:hAnsi="Times New Roman"/>
          <w:sz w:val="24"/>
        </w:rPr>
      </w:pPr>
      <w:r>
        <w:rPr>
          <w:rFonts w:ascii="Times New Roman" w:hAnsi="Times New Roman"/>
          <w:sz w:val="24"/>
        </w:rPr>
        <w:t>Rashodi za nabavu nefinancijske imovine iznose 237,70€ te su za 76,23% manje u odnosu na planirano, budući da je opremanje kuhinje bilo financirano iz nadležnog proračuna.</w:t>
      </w:r>
    </w:p>
    <w:p>
      <w:pPr>
        <w:pStyle w:val="Normal"/>
        <w:spacing w:lineRule="auto" w:line="252" w:before="0" w:after="0"/>
        <w:jc w:val="both"/>
        <w:rPr>
          <w:rFonts w:ascii="Times New Roman" w:hAnsi="Times New Roman"/>
          <w:sz w:val="24"/>
        </w:rPr>
      </w:pPr>
      <w:r>
        <w:rPr>
          <w:rFonts w:ascii="Times New Roman" w:hAnsi="Times New Roman"/>
          <w:sz w:val="24"/>
        </w:rPr>
        <w:t xml:space="preserve">Ukupni rashodi iznose 259.447,38€ što je 14,51% manje u odnosu na tekući plan, odnosno 3,15% u odnosu na prethodnu godinu. </w:t>
      </w:r>
    </w:p>
    <w:p>
      <w:pPr>
        <w:pStyle w:val="Normal"/>
        <w:spacing w:lineRule="auto" w:line="252" w:before="0" w:after="0"/>
        <w:jc w:val="both"/>
        <w:rPr>
          <w:rFonts w:ascii="Times New Roman" w:hAnsi="Times New Roman"/>
          <w:sz w:val="24"/>
        </w:rPr>
      </w:pPr>
      <w:r>
        <w:rPr>
          <w:rFonts w:ascii="Times New Roman" w:hAnsi="Times New Roman"/>
          <w:sz w:val="24"/>
        </w:rPr>
      </w:r>
    </w:p>
    <w:p>
      <w:pPr>
        <w:pStyle w:val="Normal"/>
        <w:spacing w:lineRule="auto" w:line="252" w:before="0" w:after="0"/>
        <w:jc w:val="both"/>
        <w:rPr>
          <w:rFonts w:ascii="Times New Roman" w:hAnsi="Times New Roman"/>
          <w:sz w:val="24"/>
        </w:rPr>
      </w:pPr>
      <w:r>
        <w:rPr>
          <w:rFonts w:ascii="Times New Roman" w:hAnsi="Times New Roman"/>
          <w:sz w:val="24"/>
        </w:rPr>
        <w:t>Razlika između ostvarenih prihoda i rashoda daje manjak prihoda i primitaka u iznosu od 4.837,39€. Navedeni manjak nije planiran, ali će biti uvršten rebalansom u plan za 2025. godinu. Primitaka od financijske imovine i zaduživanja te izdataka za financijsku imovinu i otplate zajmova (neto zaduživanja) nije bilo.</w:t>
      </w:r>
    </w:p>
    <w:p>
      <w:pPr>
        <w:pStyle w:val="Normal"/>
        <w:spacing w:lineRule="auto" w:line="252" w:before="0" w:after="0"/>
        <w:jc w:val="both"/>
        <w:rPr>
          <w:rFonts w:ascii="Times New Roman" w:hAnsi="Times New Roman"/>
          <w:sz w:val="24"/>
        </w:rPr>
      </w:pPr>
      <w:r>
        <w:rPr>
          <w:rFonts w:ascii="Times New Roman" w:hAnsi="Times New Roman"/>
          <w:sz w:val="24"/>
        </w:rPr>
      </w:r>
    </w:p>
    <w:p>
      <w:pPr>
        <w:pStyle w:val="Normal"/>
        <w:spacing w:lineRule="auto" w:line="252" w:before="0" w:after="0"/>
        <w:jc w:val="both"/>
        <w:rPr>
          <w:rFonts w:ascii="Times New Roman" w:hAnsi="Times New Roman"/>
          <w:sz w:val="24"/>
        </w:rPr>
      </w:pPr>
      <w:r>
        <w:rPr>
          <w:rFonts w:ascii="Times New Roman" w:hAnsi="Times New Roman"/>
          <w:sz w:val="24"/>
        </w:rPr>
      </w:r>
    </w:p>
    <w:p>
      <w:pPr>
        <w:pStyle w:val="Normal"/>
        <w:spacing w:lineRule="auto" w:line="252" w:before="0" w:after="0"/>
        <w:jc w:val="both"/>
        <w:rPr>
          <w:rFonts w:ascii="Times New Roman" w:hAnsi="Times New Roman"/>
          <w:sz w:val="24"/>
        </w:rPr>
      </w:pPr>
      <w:r>
        <w:rPr>
          <w:rFonts w:ascii="Times New Roman" w:hAnsi="Times New Roman"/>
          <w:sz w:val="24"/>
        </w:rPr>
      </w:r>
    </w:p>
    <w:p>
      <w:pPr>
        <w:pStyle w:val="Normal"/>
        <w:spacing w:lineRule="auto" w:line="252" w:before="0" w:after="0"/>
        <w:jc w:val="both"/>
        <w:rPr>
          <w:rFonts w:ascii="Times New Roman" w:hAnsi="Times New Roman"/>
          <w:b/>
          <w:b/>
          <w:bCs/>
          <w:sz w:val="24"/>
          <w:u w:val="single"/>
        </w:rPr>
      </w:pPr>
      <w:r>
        <w:rPr>
          <w:rFonts w:ascii="Times New Roman" w:hAnsi="Times New Roman"/>
          <w:b/>
          <w:bCs/>
          <w:sz w:val="24"/>
          <w:u w:val="single"/>
        </w:rPr>
        <w:t>Obrazloženje prenesenog manjka odnosno viška iz prethodne godine i viška odnosno manjka za prijenos u sljedeću godinu/razdoblje.</w:t>
      </w:r>
    </w:p>
    <w:p>
      <w:pPr>
        <w:pStyle w:val="Normal"/>
        <w:spacing w:lineRule="auto" w:line="252" w:before="0" w:after="0"/>
        <w:jc w:val="both"/>
        <w:rPr>
          <w:rFonts w:ascii="Times New Roman" w:hAnsi="Times New Roman"/>
          <w:b/>
          <w:b/>
          <w:bCs/>
          <w:i/>
          <w:i/>
          <w:iCs/>
          <w:sz w:val="24"/>
          <w:u w:val="single"/>
        </w:rPr>
      </w:pPr>
      <w:r>
        <w:rPr>
          <w:rFonts w:ascii="Times New Roman" w:hAnsi="Times New Roman"/>
          <w:b/>
          <w:bCs/>
          <w:i/>
          <w:iCs/>
          <w:sz w:val="24"/>
          <w:u w:val="single"/>
        </w:rPr>
      </w:r>
    </w:p>
    <w:p>
      <w:pPr>
        <w:pStyle w:val="Normal"/>
        <w:spacing w:lineRule="auto" w:line="252" w:before="0" w:after="0"/>
        <w:jc w:val="both"/>
        <w:rPr>
          <w:rFonts w:ascii="Times New Roman" w:hAnsi="Times New Roman"/>
          <w:sz w:val="24"/>
        </w:rPr>
      </w:pPr>
      <w:r>
        <w:rPr>
          <w:rFonts w:ascii="Times New Roman" w:hAnsi="Times New Roman"/>
          <w:sz w:val="24"/>
        </w:rPr>
        <w:t>U 2023. godini je ostvaren višak prihoda poslovanja u iznosu od 1.799,99€ koji je pokrio manjak iz prethodnih godina u iznosu od 9.756,76€ što je rezultiralo prenesenim manjkom prihoda poslovanja za 2024. u iznosu od 7.956,77€. U tekućoj godini je ostvaren manjak prihoda od 4.837,39€ što rezultira ukupnim manjkom prihoda poslovanja u iznosu od 12.794,16€. Preneseni manjak prihoda od nefinancijske imovine iznosi 9.562,89€. Stoga, ukupni preneseni manjak prihoda poslovanja iznosi 22.357,05€.</w:t>
      </w:r>
    </w:p>
    <w:p>
      <w:pPr>
        <w:pStyle w:val="Normal"/>
        <w:spacing w:lineRule="auto" w:line="252" w:before="0" w:after="0"/>
        <w:jc w:val="both"/>
        <w:rPr>
          <w:rFonts w:ascii="Times New Roman" w:hAnsi="Times New Roman"/>
          <w:sz w:val="24"/>
        </w:rPr>
      </w:pPr>
      <w:r>
        <w:rPr>
          <w:rFonts w:ascii="Times New Roman" w:hAnsi="Times New Roman"/>
          <w:sz w:val="24"/>
        </w:rPr>
        <w:t xml:space="preserve">Odnosno, preneseni manjak prihoda i primitaka poslovanja iznosi 17.519,66€, manjak prihoda u tekućoj godini iznosi 4.837,39€ što predstavlja ukupni preneseni manjak prihoda u iznosu od 22.357,05€. </w:t>
      </w:r>
    </w:p>
    <w:p>
      <w:pPr>
        <w:pStyle w:val="Normal"/>
        <w:spacing w:lineRule="auto" w:line="252" w:before="0" w:after="0"/>
        <w:jc w:val="both"/>
        <w:rPr>
          <w:rFonts w:ascii="Times New Roman" w:hAnsi="Times New Roman"/>
          <w:sz w:val="24"/>
        </w:rPr>
      </w:pPr>
      <w:r>
        <w:rPr>
          <w:rFonts w:ascii="Times New Roman" w:hAnsi="Times New Roman"/>
          <w:sz w:val="24"/>
        </w:rPr>
      </w:r>
    </w:p>
    <w:p>
      <w:pPr>
        <w:pStyle w:val="Normal"/>
        <w:spacing w:lineRule="auto" w:line="252" w:before="0" w:after="0"/>
        <w:jc w:val="both"/>
        <w:rPr>
          <w:rFonts w:ascii="Times New Roman" w:hAnsi="Times New Roman"/>
          <w:sz w:val="24"/>
        </w:rPr>
      </w:pPr>
      <w:r>
        <w:rPr>
          <w:rFonts w:ascii="Times New Roman" w:hAnsi="Times New Roman"/>
          <w:sz w:val="24"/>
        </w:rPr>
      </w:r>
    </w:p>
    <w:p>
      <w:pPr>
        <w:pStyle w:val="Normal"/>
        <w:spacing w:lineRule="auto" w:line="252" w:before="0" w:after="0"/>
        <w:jc w:val="both"/>
        <w:rPr>
          <w:rFonts w:ascii="Times New Roman" w:hAnsi="Times New Roman"/>
          <w:sz w:val="24"/>
        </w:rPr>
      </w:pPr>
      <w:r>
        <w:rPr>
          <w:rFonts w:ascii="Times New Roman" w:hAnsi="Times New Roman"/>
          <w:sz w:val="24"/>
        </w:rPr>
      </w:r>
    </w:p>
    <w:p>
      <w:pPr>
        <w:pStyle w:val="Normal"/>
        <w:spacing w:lineRule="auto" w:line="252" w:before="0" w:after="0"/>
        <w:jc w:val="both"/>
        <w:rPr>
          <w:rFonts w:ascii="Times New Roman" w:hAnsi="Times New Roman"/>
          <w:b/>
          <w:b/>
          <w:bCs/>
          <w:i/>
          <w:i/>
          <w:iCs/>
          <w:sz w:val="24"/>
          <w:szCs w:val="24"/>
        </w:rPr>
      </w:pPr>
      <w:r>
        <w:rPr>
          <w:rFonts w:ascii="Times New Roman" w:hAnsi="Times New Roman"/>
          <w:b/>
          <w:bCs/>
          <w:i/>
          <w:iCs/>
          <w:sz w:val="24"/>
          <w:szCs w:val="24"/>
        </w:rPr>
        <w:t>Obrazloženje ostvarenja prihoda i primitaka</w:t>
      </w:r>
    </w:p>
    <w:p>
      <w:pPr>
        <w:pStyle w:val="Normal"/>
        <w:spacing w:lineRule="auto" w:line="252" w:before="0" w:after="0"/>
        <w:jc w:val="both"/>
        <w:rPr>
          <w:rFonts w:ascii="Times New Roman" w:hAnsi="Times New Roman"/>
          <w:b/>
          <w:b/>
          <w:bCs/>
          <w:sz w:val="24"/>
        </w:rPr>
      </w:pPr>
      <w:r>
        <w:rPr>
          <w:rFonts w:ascii="Times New Roman" w:hAnsi="Times New Roman"/>
          <w:b/>
          <w:bCs/>
          <w:sz w:val="24"/>
        </w:rPr>
      </w:r>
    </w:p>
    <w:p>
      <w:pPr>
        <w:pStyle w:val="Normal"/>
        <w:spacing w:lineRule="auto" w:line="252" w:before="0" w:after="0"/>
        <w:jc w:val="both"/>
        <w:rPr>
          <w:rFonts w:ascii="Times New Roman" w:hAnsi="Times New Roman"/>
          <w:sz w:val="24"/>
        </w:rPr>
      </w:pPr>
      <w:r>
        <w:rPr>
          <w:rFonts w:ascii="Times New Roman" w:hAnsi="Times New Roman"/>
          <w:sz w:val="24"/>
        </w:rPr>
        <w:t xml:space="preserve">Ostvareni prihodi i primici u 2024. godini uspoređeni sa ostvarenjem u prethodnoj godini i sa planiranim na godišnjem nivou prikazani su kako slijedi:  </w:t>
      </w:r>
    </w:p>
    <w:p>
      <w:pPr>
        <w:pStyle w:val="Normal"/>
        <w:spacing w:lineRule="auto" w:line="252" w:before="0" w:after="0"/>
        <w:jc w:val="both"/>
        <w:rPr>
          <w:rFonts w:ascii="Times New Roman" w:hAnsi="Times New Roman"/>
          <w:sz w:val="24"/>
        </w:rPr>
      </w:pPr>
      <w:r>
        <w:rPr>
          <w:rFonts w:ascii="Times New Roman" w:hAnsi="Times New Roman"/>
          <w:sz w:val="24"/>
        </w:rPr>
      </w:r>
    </w:p>
    <w:p>
      <w:pPr>
        <w:pStyle w:val="ListParagraph"/>
        <w:numPr>
          <w:ilvl w:val="0"/>
          <w:numId w:val="1"/>
        </w:numPr>
        <w:spacing w:lineRule="auto" w:line="252" w:before="0" w:after="0"/>
        <w:contextualSpacing/>
        <w:jc w:val="both"/>
        <w:rPr>
          <w:rFonts w:ascii="Times New Roman" w:hAnsi="Times New Roman"/>
          <w:sz w:val="24"/>
        </w:rPr>
      </w:pPr>
      <w:r>
        <w:rPr>
          <w:rFonts w:ascii="Times New Roman" w:hAnsi="Times New Roman"/>
          <w:color w:val="000000" w:themeColor="text1"/>
          <w:sz w:val="24"/>
        </w:rPr>
        <w:t>Pomoći iz inozemstva i od subjekata unutar općeg proračuna</w:t>
      </w:r>
      <w:r>
        <w:rPr>
          <w:rFonts w:ascii="Times New Roman" w:hAnsi="Times New Roman"/>
          <w:sz w:val="24"/>
        </w:rPr>
        <w:t xml:space="preserve"> su 13,44% veći u odnosu na plan te 518,95% u odnosu na prethodnu godinu. </w:t>
      </w:r>
    </w:p>
    <w:p>
      <w:pPr>
        <w:pStyle w:val="ListParagraph"/>
        <w:numPr>
          <w:ilvl w:val="1"/>
          <w:numId w:val="1"/>
        </w:numPr>
        <w:spacing w:lineRule="auto" w:line="252" w:before="0" w:after="0"/>
        <w:contextualSpacing/>
        <w:jc w:val="both"/>
        <w:rPr>
          <w:rFonts w:ascii="Times New Roman" w:hAnsi="Times New Roman"/>
          <w:sz w:val="24"/>
        </w:rPr>
      </w:pPr>
      <w:r>
        <w:rPr>
          <w:rFonts w:ascii="Times New Roman" w:hAnsi="Times New Roman"/>
          <w:sz w:val="24"/>
        </w:rPr>
        <w:t xml:space="preserve"> </w:t>
      </w:r>
      <w:r>
        <w:rPr>
          <w:rFonts w:ascii="Times New Roman" w:hAnsi="Times New Roman"/>
          <w:b/>
          <w:bCs/>
          <w:sz w:val="24"/>
        </w:rPr>
        <w:t>6361</w:t>
      </w:r>
      <w:r>
        <w:rPr>
          <w:rFonts w:ascii="Times New Roman" w:hAnsi="Times New Roman"/>
          <w:b/>
          <w:bCs/>
          <w:sz w:val="24"/>
          <w:szCs w:val="24"/>
        </w:rPr>
        <w:t xml:space="preserve"> </w:t>
      </w:r>
      <w:r>
        <w:rPr>
          <w:rFonts w:ascii="Times New Roman" w:hAnsi="Times New Roman"/>
          <w:sz w:val="24"/>
          <w:szCs w:val="24"/>
        </w:rPr>
        <w:t>- Tekuće pomoći proračunskim korisnicima iz proračuna koji im nije nadležan</w:t>
      </w:r>
      <w:r>
        <w:rPr>
          <w:rFonts w:ascii="Times New Roman" w:hAnsi="Times New Roman"/>
          <w:sz w:val="24"/>
        </w:rPr>
        <w:t xml:space="preserve"> ostvarene su u iznosu od 1.247,80€ budući da je u tekućoj godini porastao broj djece predškolaca temeljem kojih je od strane Ministarstva znanosti i obrazovanja uplaćen viši iznos pomoći (316,80€). Također, u tekućoj godini je od prethodno navedenog Ministarstva uplaćeno pomoći i za djecu s teškoćama u iznosu od 931,00 € kojeg u prethodnoj godini nije bilo.</w:t>
      </w:r>
    </w:p>
    <w:p>
      <w:pPr>
        <w:pStyle w:val="ListParagraph"/>
        <w:numPr>
          <w:ilvl w:val="0"/>
          <w:numId w:val="1"/>
        </w:numPr>
        <w:spacing w:lineRule="auto" w:line="252" w:before="0" w:after="0"/>
        <w:contextualSpacing/>
        <w:jc w:val="both"/>
        <w:rPr>
          <w:rFonts w:ascii="Times New Roman" w:hAnsi="Times New Roman"/>
          <w:sz w:val="24"/>
        </w:rPr>
      </w:pPr>
      <w:r>
        <w:rPr>
          <w:rFonts w:ascii="Times New Roman" w:hAnsi="Times New Roman"/>
          <w:sz w:val="24"/>
        </w:rPr>
        <w:t>Prihodi od upravnih i administrativnih pristojbi, pristojbi po posebnim propisima i naknadama su manje za 20,74% u odnosu na planirano te 27,62% veće u odnosu na prethodnu godinu.</w:t>
      </w:r>
    </w:p>
    <w:p>
      <w:pPr>
        <w:pStyle w:val="ListParagraph"/>
        <w:numPr>
          <w:ilvl w:val="1"/>
          <w:numId w:val="1"/>
        </w:numPr>
        <w:spacing w:lineRule="auto" w:line="252" w:before="0" w:after="0"/>
        <w:contextualSpacing/>
        <w:jc w:val="both"/>
        <w:rPr>
          <w:rFonts w:ascii="Times New Roman" w:hAnsi="Times New Roman"/>
          <w:sz w:val="24"/>
        </w:rPr>
      </w:pPr>
      <w:r>
        <w:rPr>
          <w:rFonts w:ascii="Times New Roman" w:hAnsi="Times New Roman"/>
          <w:b/>
          <w:bCs/>
          <w:sz w:val="24"/>
        </w:rPr>
        <w:t xml:space="preserve"> </w:t>
      </w:r>
      <w:r>
        <w:rPr>
          <w:rFonts w:ascii="Times New Roman" w:hAnsi="Times New Roman"/>
          <w:b/>
          <w:bCs/>
          <w:sz w:val="24"/>
        </w:rPr>
        <w:t xml:space="preserve">6526 </w:t>
      </w:r>
      <w:r>
        <w:rPr>
          <w:rFonts w:ascii="Times New Roman" w:hAnsi="Times New Roman"/>
          <w:sz w:val="24"/>
        </w:rPr>
        <w:t xml:space="preserve">– Obuhvaća ostale nespomenute prihode koje se odnose na prihode od naplate korištenja usluge vrtića te su u porastu budući da je u tekućoj godini povećan broj djece te je samim time bilo izdano više izlaznih računa kojim su se povećali prihodi. </w:t>
      </w:r>
    </w:p>
    <w:p>
      <w:pPr>
        <w:pStyle w:val="ListParagraph"/>
        <w:numPr>
          <w:ilvl w:val="0"/>
          <w:numId w:val="1"/>
        </w:numPr>
        <w:spacing w:lineRule="auto" w:line="252" w:before="0" w:after="0"/>
        <w:contextualSpacing/>
        <w:jc w:val="both"/>
        <w:rPr>
          <w:rFonts w:ascii="Times New Roman" w:hAnsi="Times New Roman"/>
          <w:sz w:val="24"/>
        </w:rPr>
      </w:pPr>
      <w:r>
        <w:rPr>
          <w:rFonts w:ascii="Times New Roman" w:hAnsi="Times New Roman"/>
          <w:sz w:val="24"/>
        </w:rPr>
        <w:t>Prihodi iz nadležnog proračuna i od HZZO-a temeljem ugovornih obveza</w:t>
      </w:r>
    </w:p>
    <w:p>
      <w:pPr>
        <w:pStyle w:val="ListParagraph"/>
        <w:numPr>
          <w:ilvl w:val="1"/>
          <w:numId w:val="1"/>
        </w:numPr>
        <w:spacing w:lineRule="auto" w:line="252" w:before="0" w:after="0"/>
        <w:contextualSpacing/>
        <w:jc w:val="both"/>
        <w:rPr>
          <w:rFonts w:ascii="Times New Roman" w:hAnsi="Times New Roman"/>
          <w:sz w:val="24"/>
        </w:rPr>
      </w:pPr>
      <w:r>
        <w:rPr>
          <w:rFonts w:ascii="Times New Roman" w:hAnsi="Times New Roman"/>
          <w:sz w:val="24"/>
        </w:rPr>
        <w:t xml:space="preserve"> </w:t>
      </w:r>
      <w:r>
        <w:rPr>
          <w:rFonts w:ascii="Times New Roman" w:hAnsi="Times New Roman"/>
          <w:b/>
          <w:bCs/>
          <w:sz w:val="24"/>
        </w:rPr>
        <w:t xml:space="preserve">6711 </w:t>
      </w:r>
      <w:r>
        <w:rPr>
          <w:rFonts w:ascii="Times New Roman" w:hAnsi="Times New Roman"/>
          <w:sz w:val="24"/>
        </w:rPr>
        <w:t>- Prihodi iz nadležnog proračuna za financiranje rashoda poslovanja su manji za 15,77% u odnosu na planirano te 8,24% manji u odnosu na prethodnu godinu budući da je bilo potrebno manje sredstava za podmirenje rashoda koji su planirani iz općih prihoda i primitaka.</w:t>
      </w:r>
    </w:p>
    <w:p>
      <w:pPr>
        <w:pStyle w:val="Normal"/>
        <w:spacing w:lineRule="auto" w:line="252" w:before="0" w:after="0"/>
        <w:jc w:val="both"/>
        <w:rPr>
          <w:rFonts w:ascii="Times New Roman" w:hAnsi="Times New Roman"/>
          <w:sz w:val="24"/>
        </w:rPr>
      </w:pPr>
      <w:r>
        <w:rPr>
          <w:rFonts w:ascii="Times New Roman" w:hAnsi="Times New Roman"/>
          <w:sz w:val="24"/>
        </w:rPr>
      </w:r>
    </w:p>
    <w:p>
      <w:pPr>
        <w:pStyle w:val="Normal"/>
        <w:spacing w:lineRule="auto" w:line="252" w:before="0" w:after="0"/>
        <w:jc w:val="both"/>
        <w:rPr>
          <w:rFonts w:ascii="Times New Roman" w:hAnsi="Times New Roman"/>
          <w:sz w:val="24"/>
        </w:rPr>
      </w:pPr>
      <w:r>
        <w:rPr>
          <w:rFonts w:ascii="Times New Roman" w:hAnsi="Times New Roman"/>
          <w:sz w:val="24"/>
        </w:rPr>
      </w:r>
    </w:p>
    <w:p>
      <w:pPr>
        <w:pStyle w:val="Normal"/>
        <w:spacing w:lineRule="auto" w:line="252" w:before="0" w:after="0"/>
        <w:jc w:val="both"/>
        <w:rPr>
          <w:rFonts w:ascii="Times New Roman" w:hAnsi="Times New Roman"/>
          <w:b/>
          <w:b/>
          <w:bCs/>
          <w:i/>
          <w:i/>
          <w:iCs/>
          <w:sz w:val="24"/>
        </w:rPr>
      </w:pPr>
      <w:r>
        <w:rPr>
          <w:rFonts w:ascii="Times New Roman" w:hAnsi="Times New Roman"/>
          <w:b/>
          <w:bCs/>
          <w:i/>
          <w:iCs/>
          <w:sz w:val="24"/>
        </w:rPr>
        <w:t>Obrazloženje ostvarenja rashoda i izdataka</w:t>
      </w:r>
    </w:p>
    <w:p>
      <w:pPr>
        <w:pStyle w:val="Normal"/>
        <w:spacing w:lineRule="auto" w:line="252" w:before="0" w:after="0"/>
        <w:jc w:val="both"/>
        <w:rPr>
          <w:rFonts w:ascii="Times New Roman" w:hAnsi="Times New Roman"/>
          <w:b/>
          <w:b/>
          <w:bCs/>
          <w:sz w:val="24"/>
        </w:rPr>
      </w:pPr>
      <w:r>
        <w:rPr>
          <w:rFonts w:ascii="Times New Roman" w:hAnsi="Times New Roman"/>
          <w:b/>
          <w:bCs/>
          <w:sz w:val="24"/>
        </w:rPr>
      </w:r>
    </w:p>
    <w:p>
      <w:pPr>
        <w:pStyle w:val="Normal"/>
        <w:spacing w:lineRule="auto" w:line="252" w:before="0" w:after="0"/>
        <w:jc w:val="both"/>
        <w:rPr>
          <w:rFonts w:ascii="Times New Roman" w:hAnsi="Times New Roman"/>
          <w:sz w:val="24"/>
        </w:rPr>
      </w:pPr>
      <w:r>
        <w:rPr>
          <w:rFonts w:ascii="Times New Roman" w:hAnsi="Times New Roman"/>
          <w:sz w:val="24"/>
        </w:rPr>
        <w:t xml:space="preserve">Ostvareni rashodi i izdaci u 2024. godini uspoređeni sa ostvarenjem u prethodnoj godini i sa planiranim na godišnjem nivou prikazani su kako slijedi:  </w:t>
      </w:r>
    </w:p>
    <w:p>
      <w:pPr>
        <w:pStyle w:val="Normal"/>
        <w:spacing w:lineRule="auto" w:line="252" w:before="0" w:after="0"/>
        <w:jc w:val="both"/>
        <w:rPr>
          <w:rFonts w:ascii="Times New Roman" w:hAnsi="Times New Roman"/>
          <w:sz w:val="24"/>
        </w:rPr>
      </w:pPr>
      <w:r>
        <w:rPr>
          <w:rFonts w:ascii="Times New Roman" w:hAnsi="Times New Roman"/>
          <w:sz w:val="24"/>
        </w:rPr>
      </w:r>
    </w:p>
    <w:p>
      <w:pPr>
        <w:pStyle w:val="ListParagraph"/>
        <w:numPr>
          <w:ilvl w:val="0"/>
          <w:numId w:val="2"/>
        </w:numPr>
        <w:spacing w:lineRule="auto" w:line="252" w:before="0" w:after="0"/>
        <w:contextualSpacing/>
        <w:jc w:val="both"/>
        <w:rPr>
          <w:rFonts w:ascii="Times New Roman" w:hAnsi="Times New Roman"/>
          <w:sz w:val="24"/>
        </w:rPr>
      </w:pPr>
      <w:r>
        <w:rPr>
          <w:rFonts w:ascii="Times New Roman" w:hAnsi="Times New Roman"/>
          <w:sz w:val="24"/>
        </w:rPr>
        <w:t>Rashodi za zaposlene su smanjeni za 4,40% u odnosu na planirano te povećani za 9,62% u odnosu na prethodnu godinu. Obuhvaćaju:</w:t>
      </w:r>
    </w:p>
    <w:p>
      <w:pPr>
        <w:pStyle w:val="ListParagraph"/>
        <w:numPr>
          <w:ilvl w:val="1"/>
          <w:numId w:val="2"/>
        </w:numPr>
        <w:spacing w:lineRule="auto" w:line="252" w:before="0" w:after="0"/>
        <w:contextualSpacing/>
        <w:jc w:val="both"/>
        <w:rPr>
          <w:rFonts w:ascii="Times New Roman" w:hAnsi="Times New Roman"/>
          <w:sz w:val="24"/>
        </w:rPr>
      </w:pPr>
      <w:r>
        <w:rPr>
          <w:rFonts w:ascii="Times New Roman" w:hAnsi="Times New Roman"/>
          <w:sz w:val="24"/>
        </w:rPr>
        <w:t xml:space="preserve"> </w:t>
      </w:r>
      <w:r>
        <w:rPr>
          <w:rFonts w:ascii="Times New Roman" w:hAnsi="Times New Roman"/>
          <w:b/>
          <w:bCs/>
          <w:sz w:val="24"/>
        </w:rPr>
        <w:t>3111</w:t>
      </w:r>
      <w:r>
        <w:rPr>
          <w:rFonts w:ascii="Times New Roman" w:hAnsi="Times New Roman"/>
          <w:sz w:val="24"/>
        </w:rPr>
        <w:t xml:space="preserve"> - Plaće za redovan rad koje su u tekućoj godini iznosile 177.884,96€, a razlog povećanja u odnosu na prethodnu godinu se odnosi na trošak plaće kuhara (zapošljavanje novog radnika) budući da je otvorena vlastita kuhinja te je tijekom godine došlo i do povećanja osnovice za izračun plaća djelatnika vrtića kao i do porasta koeficijenta za obračun plaća. </w:t>
      </w:r>
    </w:p>
    <w:p>
      <w:pPr>
        <w:pStyle w:val="ListParagraph"/>
        <w:numPr>
          <w:ilvl w:val="1"/>
          <w:numId w:val="2"/>
        </w:numPr>
        <w:spacing w:lineRule="auto" w:line="252" w:before="0" w:after="0"/>
        <w:contextualSpacing/>
        <w:jc w:val="both"/>
        <w:rPr>
          <w:rFonts w:ascii="Times New Roman" w:hAnsi="Times New Roman"/>
          <w:sz w:val="24"/>
        </w:rPr>
      </w:pPr>
      <w:r>
        <w:rPr>
          <w:rFonts w:ascii="Times New Roman" w:hAnsi="Times New Roman"/>
          <w:b/>
          <w:bCs/>
          <w:sz w:val="24"/>
        </w:rPr>
        <w:t>3132</w:t>
      </w:r>
      <w:r>
        <w:rPr>
          <w:rFonts w:ascii="Times New Roman" w:hAnsi="Times New Roman"/>
          <w:sz w:val="24"/>
        </w:rPr>
        <w:t xml:space="preserve"> - Doprinosi za obvezno zdravstveno osiguranje su za 8,78% manji u odnosu na plan, a veći za 3,26% u odnosu na prethodnu godinu zbog povećanja bruto plaća, a djelatnik kuhinje je osoba mlađa od 30. godina te je oslobođena doprinosa i isto se ne odnosi na njega.</w:t>
      </w:r>
    </w:p>
    <w:p>
      <w:pPr>
        <w:pStyle w:val="ListParagraph"/>
        <w:numPr>
          <w:ilvl w:val="1"/>
          <w:numId w:val="2"/>
        </w:numPr>
        <w:spacing w:lineRule="auto" w:line="252" w:before="0" w:after="0"/>
        <w:contextualSpacing/>
        <w:jc w:val="both"/>
        <w:rPr>
          <w:rFonts w:ascii="Times New Roman" w:hAnsi="Times New Roman"/>
          <w:sz w:val="24"/>
        </w:rPr>
      </w:pPr>
      <w:r>
        <w:rPr>
          <w:rFonts w:ascii="Times New Roman" w:hAnsi="Times New Roman"/>
          <w:b/>
          <w:bCs/>
          <w:sz w:val="24"/>
        </w:rPr>
        <w:t>3121</w:t>
      </w:r>
      <w:r>
        <w:rPr>
          <w:rFonts w:ascii="Times New Roman" w:hAnsi="Times New Roman"/>
          <w:sz w:val="24"/>
        </w:rPr>
        <w:t xml:space="preserve"> - Ostali rashodi za zaposlene su 48,91% manje u odnosu na plan, a veće za 9,53% u odnosu na prethodnu godinu budući da je planirano da će se povećati iznosi naknada, međutim zbog racionalizacije troška nadležnog proračuna isplaćeni su isti iznosi kao prethodnih godina. Razlog povećanja u tekućoj godini se odnosi na božićnicu i dar za dijete za djelatnika kuhinje.</w:t>
      </w:r>
    </w:p>
    <w:p>
      <w:pPr>
        <w:pStyle w:val="ListParagraph"/>
        <w:numPr>
          <w:ilvl w:val="0"/>
          <w:numId w:val="2"/>
        </w:numPr>
        <w:spacing w:lineRule="auto" w:line="252" w:before="0" w:after="0"/>
        <w:contextualSpacing/>
        <w:jc w:val="both"/>
        <w:rPr>
          <w:rFonts w:ascii="Times New Roman" w:hAnsi="Times New Roman"/>
          <w:sz w:val="24"/>
        </w:rPr>
      </w:pPr>
      <w:r>
        <w:rPr>
          <w:rFonts w:ascii="Times New Roman" w:hAnsi="Times New Roman"/>
          <w:sz w:val="24"/>
        </w:rPr>
        <w:t xml:space="preserve">Materijalni rashodi su se smanjili za 40,53% u odnosu na planirano, a 35,43% u odnosu na prethodnu godinu. Obuhvaćaju naknade troškova zaposlenima, rashode za materijal i energiju, rashode za usluge te ostale nespomenute rashode poslovanja. </w:t>
      </w:r>
    </w:p>
    <w:p>
      <w:pPr>
        <w:pStyle w:val="ListParagraph"/>
        <w:spacing w:lineRule="auto" w:line="252" w:before="0" w:after="0"/>
        <w:ind w:left="360" w:hanging="0"/>
        <w:contextualSpacing/>
        <w:jc w:val="both"/>
        <w:rPr>
          <w:rFonts w:ascii="Times New Roman" w:hAnsi="Times New Roman"/>
          <w:sz w:val="24"/>
        </w:rPr>
      </w:pPr>
      <w:r>
        <w:rPr>
          <w:rFonts w:ascii="Times New Roman" w:hAnsi="Times New Roman"/>
          <w:sz w:val="24"/>
        </w:rPr>
        <w:t xml:space="preserve">U odjeljku podskupine </w:t>
      </w:r>
      <w:r>
        <w:rPr>
          <w:rFonts w:ascii="Times New Roman" w:hAnsi="Times New Roman"/>
          <w:sz w:val="24"/>
          <w:u w:val="single"/>
        </w:rPr>
        <w:t>naknade troškova zaposlenima</w:t>
      </w:r>
      <w:r>
        <w:rPr>
          <w:rFonts w:ascii="Times New Roman" w:hAnsi="Times New Roman"/>
          <w:sz w:val="24"/>
        </w:rPr>
        <w:t xml:space="preserve"> su:</w:t>
      </w:r>
    </w:p>
    <w:p>
      <w:pPr>
        <w:pStyle w:val="ListParagraph"/>
        <w:numPr>
          <w:ilvl w:val="1"/>
          <w:numId w:val="2"/>
        </w:numPr>
        <w:spacing w:lineRule="auto" w:line="252" w:before="0" w:after="0"/>
        <w:contextualSpacing/>
        <w:jc w:val="both"/>
        <w:rPr>
          <w:rFonts w:ascii="Times New Roman" w:hAnsi="Times New Roman"/>
          <w:sz w:val="24"/>
        </w:rPr>
      </w:pPr>
      <w:r>
        <w:rPr>
          <w:rFonts w:ascii="Times New Roman" w:hAnsi="Times New Roman"/>
          <w:b/>
          <w:bCs/>
          <w:sz w:val="24"/>
        </w:rPr>
        <w:t>3211</w:t>
      </w:r>
      <w:r>
        <w:rPr>
          <w:rFonts w:ascii="Times New Roman" w:hAnsi="Times New Roman"/>
          <w:sz w:val="24"/>
        </w:rPr>
        <w:t xml:space="preserve"> - Službena putovanja su se smanjila u odnosu na planirano, a povećala za 143,84% u odnosu na prethodnu godinu jer je u tekućoj godini bilo više putnih naloga ravnateljice. Pohađana su predavanja i radionice  (problematika rada ravnatelja, radnici i bolovanja, primjena neuroznanosti u predškolskoj ustanovi; što nam znanost govori o uspješnom vođenju dječjih vrtića; karijes dječje dobi - nacionalni program Zubna putovnica, predavanje Ciklusi i procesi te razne glazbene radionice) i odlasci na pojedine sastanke sa ravnateljima drugih vrtića zbog primjera dobre prakse za poboljšanje rada i opremanje jaslica koja bi se trebala implementirati u organizaciju.</w:t>
      </w:r>
    </w:p>
    <w:p>
      <w:pPr>
        <w:pStyle w:val="ListParagraph"/>
        <w:numPr>
          <w:ilvl w:val="1"/>
          <w:numId w:val="2"/>
        </w:numPr>
        <w:spacing w:lineRule="auto" w:line="252" w:before="0" w:after="0"/>
        <w:contextualSpacing/>
        <w:jc w:val="both"/>
        <w:rPr>
          <w:rFonts w:ascii="Times New Roman" w:hAnsi="Times New Roman"/>
          <w:sz w:val="24"/>
        </w:rPr>
      </w:pPr>
      <w:r>
        <w:rPr>
          <w:rFonts w:ascii="Times New Roman" w:hAnsi="Times New Roman"/>
          <w:b/>
          <w:bCs/>
          <w:sz w:val="24"/>
        </w:rPr>
        <w:t xml:space="preserve">3212 </w:t>
      </w:r>
      <w:r>
        <w:rPr>
          <w:rFonts w:ascii="Times New Roman" w:hAnsi="Times New Roman"/>
          <w:sz w:val="24"/>
        </w:rPr>
        <w:t>– Naknade za prijevoz, za rad na terenu i odvojeni život su povećana zbog troška prijevoza za dodatnog radnika kuhinje.</w:t>
      </w:r>
    </w:p>
    <w:p>
      <w:pPr>
        <w:pStyle w:val="ListParagraph"/>
        <w:numPr>
          <w:ilvl w:val="1"/>
          <w:numId w:val="2"/>
        </w:numPr>
        <w:spacing w:lineRule="auto" w:line="252" w:before="0" w:after="0"/>
        <w:contextualSpacing/>
        <w:jc w:val="both"/>
        <w:rPr>
          <w:rFonts w:ascii="Times New Roman" w:hAnsi="Times New Roman"/>
          <w:sz w:val="24"/>
        </w:rPr>
      </w:pPr>
      <w:r>
        <w:rPr>
          <w:rFonts w:ascii="Times New Roman" w:hAnsi="Times New Roman"/>
          <w:b/>
          <w:bCs/>
          <w:sz w:val="24"/>
        </w:rPr>
        <w:t xml:space="preserve">3213 </w:t>
      </w:r>
      <w:r>
        <w:rPr>
          <w:rFonts w:ascii="Times New Roman" w:hAnsi="Times New Roman"/>
          <w:sz w:val="24"/>
        </w:rPr>
        <w:t xml:space="preserve">– Stručno usavršavanje zaposlenika je smanjeno budući da je bilo manje seminara u tekućoj godini za razliku od prethodne, a tečajevi i stručni ispiti nisu značajno oscilirali. </w:t>
      </w:r>
    </w:p>
    <w:p>
      <w:pPr>
        <w:pStyle w:val="ListParagraph"/>
        <w:spacing w:lineRule="auto" w:line="252" w:before="0" w:after="0"/>
        <w:contextualSpacing/>
        <w:jc w:val="both"/>
        <w:rPr>
          <w:rFonts w:ascii="Times New Roman" w:hAnsi="Times New Roman"/>
          <w:sz w:val="24"/>
          <w:u w:val="single"/>
        </w:rPr>
      </w:pPr>
      <w:r>
        <w:rPr>
          <w:rFonts w:ascii="Times New Roman" w:hAnsi="Times New Roman"/>
          <w:sz w:val="24"/>
          <w:u w:val="single"/>
        </w:rPr>
        <w:t>Rashodi za materijal i energiju</w:t>
      </w:r>
    </w:p>
    <w:p>
      <w:pPr>
        <w:pStyle w:val="ListParagraph"/>
        <w:numPr>
          <w:ilvl w:val="1"/>
          <w:numId w:val="2"/>
        </w:numPr>
        <w:spacing w:lineRule="auto" w:line="252" w:before="0" w:after="0"/>
        <w:contextualSpacing/>
        <w:jc w:val="both"/>
        <w:rPr>
          <w:rFonts w:ascii="Times New Roman" w:hAnsi="Times New Roman"/>
          <w:sz w:val="24"/>
        </w:rPr>
      </w:pPr>
      <w:r>
        <w:rPr>
          <w:rFonts w:ascii="Times New Roman" w:hAnsi="Times New Roman"/>
          <w:b/>
          <w:bCs/>
          <w:sz w:val="24"/>
        </w:rPr>
        <w:t>3221</w:t>
      </w:r>
      <w:r>
        <w:rPr>
          <w:rFonts w:ascii="Times New Roman" w:hAnsi="Times New Roman"/>
          <w:sz w:val="24"/>
        </w:rPr>
        <w:t xml:space="preserve"> – Uredski materijal i ostali materijalni rashodi koje obuhvaćaju materijal i sredstva za čišćenje i održavanje, za higijenske potrebe i njegu i ostali materijal za potrebe redovnog poslovanja (materijali za dječje radionice) su smanjeni u odnosu na plan, ali povećani za 35,72% u odnosu na prethodnu godinu zbog veće potrošnje koja prati rast broja djece u vrtiću.</w:t>
      </w:r>
    </w:p>
    <w:p>
      <w:pPr>
        <w:pStyle w:val="ListParagraph"/>
        <w:numPr>
          <w:ilvl w:val="1"/>
          <w:numId w:val="2"/>
        </w:numPr>
        <w:spacing w:lineRule="auto" w:line="252" w:before="0" w:after="0"/>
        <w:contextualSpacing/>
        <w:jc w:val="both"/>
        <w:rPr>
          <w:rFonts w:ascii="Times New Roman" w:hAnsi="Times New Roman"/>
          <w:sz w:val="24"/>
        </w:rPr>
      </w:pPr>
      <w:r>
        <w:rPr>
          <w:rFonts w:ascii="Times New Roman" w:hAnsi="Times New Roman"/>
          <w:b/>
          <w:bCs/>
          <w:sz w:val="24"/>
        </w:rPr>
        <w:t xml:space="preserve">3222 </w:t>
      </w:r>
      <w:r>
        <w:rPr>
          <w:rFonts w:ascii="Times New Roman" w:hAnsi="Times New Roman"/>
          <w:sz w:val="24"/>
        </w:rPr>
        <w:t>– Materijal i sirovine odnosno namirnice Dječjeg vrtića su značajno smanjene i u odnosu na plan i u odnosu na prethodnu godinu, čak 41,64% budući da nije bilo nabave hrane iz Dječjeg vrtića Ploča kao prethodnih godina, nego je otvorena vlastita kuhinja. Bez obzira na povećanje broja djece, trošak obroka po djetetu i po danu je bio značajno manji nego prethodnih godina kada je bila ugovorom definirana cijena obroka.</w:t>
      </w:r>
    </w:p>
    <w:p>
      <w:pPr>
        <w:pStyle w:val="ListParagraph"/>
        <w:numPr>
          <w:ilvl w:val="1"/>
          <w:numId w:val="2"/>
        </w:numPr>
        <w:spacing w:lineRule="auto" w:line="252" w:before="0" w:after="0"/>
        <w:contextualSpacing/>
        <w:jc w:val="both"/>
        <w:rPr>
          <w:rFonts w:ascii="Times New Roman" w:hAnsi="Times New Roman"/>
          <w:sz w:val="24"/>
        </w:rPr>
      </w:pPr>
      <w:r>
        <w:rPr>
          <w:rFonts w:ascii="Times New Roman" w:hAnsi="Times New Roman"/>
          <w:b/>
          <w:bCs/>
          <w:sz w:val="24"/>
        </w:rPr>
        <w:t>3224</w:t>
      </w:r>
      <w:r>
        <w:rPr>
          <w:rFonts w:ascii="Times New Roman" w:hAnsi="Times New Roman"/>
          <w:sz w:val="24"/>
        </w:rPr>
        <w:t xml:space="preserve"> – Materijal i dijelovi za tekuće i investicijsko održavanje u tekućoj godini iznose 130,53€ i odnose se na utrošak materijala za kuhinju i prostorije radnih skupina.</w:t>
      </w:r>
    </w:p>
    <w:p>
      <w:pPr>
        <w:pStyle w:val="ListParagraph"/>
        <w:numPr>
          <w:ilvl w:val="1"/>
          <w:numId w:val="2"/>
        </w:numPr>
        <w:spacing w:lineRule="auto" w:line="252" w:before="0" w:after="0"/>
        <w:contextualSpacing/>
        <w:jc w:val="both"/>
        <w:rPr>
          <w:rFonts w:ascii="Times New Roman" w:hAnsi="Times New Roman"/>
          <w:sz w:val="24"/>
        </w:rPr>
      </w:pPr>
      <w:r>
        <w:rPr>
          <w:rFonts w:ascii="Times New Roman" w:hAnsi="Times New Roman"/>
          <w:b/>
          <w:bCs/>
          <w:sz w:val="24"/>
        </w:rPr>
        <w:t>3225</w:t>
      </w:r>
      <w:r>
        <w:rPr>
          <w:rFonts w:ascii="Times New Roman" w:hAnsi="Times New Roman"/>
          <w:sz w:val="24"/>
        </w:rPr>
        <w:t xml:space="preserve"> – Sitan inventar i auto gume su smanjeni za 97,46% u odnosu na planirano, a 88,27% u odnosu na prethodnu godinu.  U tekućoj godini nije bilo značajne nabave sitnog inventara. </w:t>
      </w:r>
    </w:p>
    <w:p>
      <w:pPr>
        <w:pStyle w:val="ListParagraph"/>
        <w:spacing w:lineRule="auto" w:line="252" w:before="0" w:after="0"/>
        <w:contextualSpacing/>
        <w:jc w:val="both"/>
        <w:rPr>
          <w:rFonts w:ascii="Times New Roman" w:hAnsi="Times New Roman"/>
          <w:sz w:val="24"/>
          <w:u w:val="single"/>
        </w:rPr>
      </w:pPr>
      <w:r>
        <w:rPr>
          <w:rFonts w:ascii="Times New Roman" w:hAnsi="Times New Roman"/>
          <w:sz w:val="24"/>
          <w:u w:val="single"/>
        </w:rPr>
        <w:t xml:space="preserve">Rashodi za usluge </w:t>
      </w:r>
    </w:p>
    <w:p>
      <w:pPr>
        <w:pStyle w:val="ListParagraph"/>
        <w:numPr>
          <w:ilvl w:val="1"/>
          <w:numId w:val="2"/>
        </w:numPr>
        <w:spacing w:lineRule="auto" w:line="252" w:before="0" w:after="0"/>
        <w:contextualSpacing/>
        <w:jc w:val="both"/>
        <w:rPr>
          <w:rFonts w:ascii="Times New Roman" w:hAnsi="Times New Roman"/>
          <w:sz w:val="24"/>
        </w:rPr>
      </w:pPr>
      <w:r>
        <w:rPr>
          <w:rFonts w:ascii="Times New Roman" w:hAnsi="Times New Roman"/>
          <w:b/>
          <w:bCs/>
          <w:sz w:val="24"/>
        </w:rPr>
        <w:t xml:space="preserve">3231 </w:t>
      </w:r>
      <w:r>
        <w:rPr>
          <w:rFonts w:ascii="Times New Roman" w:hAnsi="Times New Roman"/>
          <w:sz w:val="24"/>
        </w:rPr>
        <w:t>– Usluge telefona, pošte i prijevoza su dosta smanjenje, što pokazuju i postoci u kojem je vidljivo da se smanjenje od 41,47% odnosi plan, a 87,31% na prethodnu godinu. U tekućoj godini nije bilo potrebe za uslugama prijevoza hrane/obroka od Dječjeg vrtića Ploče do Dječjeg vrtića Gradac te podružnice u Drveniku jer je otvorena vlastita kuhinja, a podjelu hrane do podružnice trenutno obavljaju vatrogasne službe kao volonteri kojima je osnivač nadležni proračun odnosno Općina Gradac, kao i proračunskom korisniku.</w:t>
      </w:r>
    </w:p>
    <w:p>
      <w:pPr>
        <w:pStyle w:val="ListParagraph"/>
        <w:numPr>
          <w:ilvl w:val="1"/>
          <w:numId w:val="2"/>
        </w:numPr>
        <w:spacing w:lineRule="auto" w:line="252" w:before="0" w:after="0"/>
        <w:contextualSpacing/>
        <w:jc w:val="both"/>
        <w:rPr>
          <w:rFonts w:ascii="Times New Roman" w:hAnsi="Times New Roman"/>
          <w:sz w:val="24"/>
        </w:rPr>
      </w:pPr>
      <w:r>
        <w:rPr>
          <w:rFonts w:ascii="Times New Roman" w:hAnsi="Times New Roman"/>
          <w:b/>
          <w:bCs/>
          <w:sz w:val="24"/>
        </w:rPr>
        <w:t xml:space="preserve">3232 </w:t>
      </w:r>
      <w:r>
        <w:rPr>
          <w:rFonts w:ascii="Times New Roman" w:hAnsi="Times New Roman"/>
          <w:sz w:val="24"/>
        </w:rPr>
        <w:t>– Usluge tekućeg i investicijskog održavanja postrojenja i opreme su smanjene za 68,19% u odnosnu na planirano, a povećane za 115,04% budući da je u tekućoj godini izvršena usluga pregleda i servisa vatrogasnih aparata i ostale opreme.</w:t>
      </w:r>
    </w:p>
    <w:p>
      <w:pPr>
        <w:pStyle w:val="ListParagraph"/>
        <w:numPr>
          <w:ilvl w:val="1"/>
          <w:numId w:val="2"/>
        </w:numPr>
        <w:spacing w:lineRule="auto" w:line="252" w:before="0" w:after="0"/>
        <w:contextualSpacing/>
        <w:jc w:val="both"/>
        <w:rPr>
          <w:rFonts w:ascii="Times New Roman" w:hAnsi="Times New Roman"/>
          <w:sz w:val="24"/>
        </w:rPr>
      </w:pPr>
      <w:r>
        <w:rPr>
          <w:rFonts w:ascii="Times New Roman" w:hAnsi="Times New Roman"/>
          <w:b/>
          <w:bCs/>
          <w:sz w:val="24"/>
        </w:rPr>
        <w:t xml:space="preserve">3233 </w:t>
      </w:r>
      <w:r>
        <w:rPr>
          <w:rFonts w:ascii="Times New Roman" w:hAnsi="Times New Roman"/>
          <w:sz w:val="24"/>
        </w:rPr>
        <w:t>– Usluge promidžbe i informiranja se odnose na tisak koji je smanjen za 12,06% budući da je u tekućoj godini bio samo jedan oglas i to za ravnatelja Dječjeg vrtića.</w:t>
      </w:r>
    </w:p>
    <w:p>
      <w:pPr>
        <w:pStyle w:val="ListParagraph"/>
        <w:numPr>
          <w:ilvl w:val="1"/>
          <w:numId w:val="2"/>
        </w:numPr>
        <w:spacing w:lineRule="auto" w:line="252" w:before="0" w:after="0"/>
        <w:contextualSpacing/>
        <w:jc w:val="both"/>
        <w:rPr>
          <w:rFonts w:ascii="Times New Roman" w:hAnsi="Times New Roman"/>
          <w:sz w:val="24"/>
        </w:rPr>
      </w:pPr>
      <w:r>
        <w:rPr>
          <w:rFonts w:ascii="Times New Roman" w:hAnsi="Times New Roman"/>
          <w:b/>
          <w:bCs/>
          <w:sz w:val="24"/>
        </w:rPr>
        <w:t xml:space="preserve">3235 – </w:t>
      </w:r>
      <w:r>
        <w:rPr>
          <w:rFonts w:ascii="Times New Roman" w:hAnsi="Times New Roman"/>
          <w:sz w:val="24"/>
        </w:rPr>
        <w:t>Zakupnine i najamnine su ostvarene u iznosu od 134,06€ i odnose se na hosting cloud Internet stranice.</w:t>
      </w:r>
    </w:p>
    <w:p>
      <w:pPr>
        <w:pStyle w:val="ListParagraph"/>
        <w:numPr>
          <w:ilvl w:val="1"/>
          <w:numId w:val="2"/>
        </w:numPr>
        <w:spacing w:lineRule="auto" w:line="252" w:before="0" w:after="0"/>
        <w:contextualSpacing/>
        <w:jc w:val="both"/>
        <w:rPr>
          <w:rFonts w:ascii="Times New Roman" w:hAnsi="Times New Roman"/>
          <w:sz w:val="24"/>
        </w:rPr>
      </w:pPr>
      <w:r>
        <w:rPr>
          <w:rFonts w:ascii="Times New Roman" w:hAnsi="Times New Roman"/>
          <w:b/>
          <w:bCs/>
          <w:sz w:val="24"/>
        </w:rPr>
        <w:t>3236 –</w:t>
      </w:r>
      <w:r>
        <w:rPr>
          <w:rFonts w:ascii="Times New Roman" w:hAnsi="Times New Roman"/>
          <w:sz w:val="24"/>
        </w:rPr>
        <w:t xml:space="preserve"> Zdravstvene i veterinarske usluge koje se odnose na laboratorijske usluge su manje u odnosu na plan, a veće za 51,27% u odnosu na prethodnu godinu budući da je bilo provedena usluga haccp-a te ispitivanja hrane i vode.</w:t>
      </w:r>
    </w:p>
    <w:p>
      <w:pPr>
        <w:pStyle w:val="ListParagraph"/>
        <w:numPr>
          <w:ilvl w:val="1"/>
          <w:numId w:val="2"/>
        </w:numPr>
        <w:spacing w:lineRule="auto" w:line="252" w:before="0" w:after="0"/>
        <w:contextualSpacing/>
        <w:jc w:val="both"/>
        <w:rPr>
          <w:rFonts w:ascii="Times New Roman" w:hAnsi="Times New Roman"/>
          <w:sz w:val="24"/>
        </w:rPr>
      </w:pPr>
      <w:r>
        <w:rPr>
          <w:rFonts w:ascii="Times New Roman" w:hAnsi="Times New Roman"/>
          <w:b/>
          <w:bCs/>
          <w:sz w:val="24"/>
        </w:rPr>
        <w:t>3237 –</w:t>
      </w:r>
      <w:r>
        <w:rPr>
          <w:rFonts w:ascii="Times New Roman" w:hAnsi="Times New Roman"/>
          <w:sz w:val="24"/>
        </w:rPr>
        <w:t xml:space="preserve"> Intelektualne i osobne usluge obuhvaćaju ugovore o djelu i ostale intelektualne godine koje su smanjene 23,97% u odnosu na plan, a 26,81% u odnosu na prethodnu godinu jer su otkazani ugovori o djelu za glazbeni i sportski program, a i dalje su aktivni ugovor o djelu za logopedske vježbe i engleski jezik.</w:t>
      </w:r>
    </w:p>
    <w:p>
      <w:pPr>
        <w:pStyle w:val="ListParagraph"/>
        <w:numPr>
          <w:ilvl w:val="1"/>
          <w:numId w:val="2"/>
        </w:numPr>
        <w:spacing w:lineRule="auto" w:line="252" w:before="0" w:after="0"/>
        <w:contextualSpacing/>
        <w:jc w:val="both"/>
        <w:rPr>
          <w:rFonts w:ascii="Times New Roman" w:hAnsi="Times New Roman"/>
          <w:sz w:val="24"/>
        </w:rPr>
      </w:pPr>
      <w:r>
        <w:rPr>
          <w:rFonts w:ascii="Times New Roman" w:hAnsi="Times New Roman"/>
          <w:b/>
          <w:bCs/>
          <w:sz w:val="24"/>
        </w:rPr>
        <w:t>3238 –</w:t>
      </w:r>
      <w:r>
        <w:rPr>
          <w:rFonts w:ascii="Times New Roman" w:hAnsi="Times New Roman"/>
          <w:sz w:val="24"/>
        </w:rPr>
        <w:t xml:space="preserve"> Računalne usluge su porasle za 191,12% u odnosu na prethodnu godinu budući da je u tekućoj godini izvršena obnova Internet stranice kao i uređenje dokumenata i arhiva na webu.</w:t>
      </w:r>
    </w:p>
    <w:p>
      <w:pPr>
        <w:pStyle w:val="ListParagraph"/>
        <w:spacing w:lineRule="auto" w:line="252" w:before="0" w:after="0"/>
        <w:contextualSpacing/>
        <w:jc w:val="both"/>
        <w:rPr>
          <w:rFonts w:ascii="Times New Roman" w:hAnsi="Times New Roman"/>
          <w:sz w:val="24"/>
          <w:u w:val="single"/>
        </w:rPr>
      </w:pPr>
      <w:r>
        <w:rPr>
          <w:rFonts w:ascii="Times New Roman" w:hAnsi="Times New Roman"/>
          <w:sz w:val="24"/>
          <w:u w:val="single"/>
        </w:rPr>
        <w:t>Ostali nespomenuti rashodi poslovanja</w:t>
      </w:r>
    </w:p>
    <w:p>
      <w:pPr>
        <w:pStyle w:val="ListParagraph"/>
        <w:numPr>
          <w:ilvl w:val="1"/>
          <w:numId w:val="2"/>
        </w:numPr>
        <w:spacing w:lineRule="auto" w:line="252" w:before="0" w:after="0"/>
        <w:contextualSpacing/>
        <w:jc w:val="both"/>
        <w:rPr>
          <w:rFonts w:ascii="Times New Roman" w:hAnsi="Times New Roman"/>
          <w:sz w:val="24"/>
        </w:rPr>
      </w:pPr>
      <w:r>
        <w:rPr>
          <w:rFonts w:ascii="Times New Roman" w:hAnsi="Times New Roman"/>
          <w:b/>
          <w:bCs/>
          <w:sz w:val="24"/>
        </w:rPr>
        <w:t>3292 –</w:t>
      </w:r>
      <w:r>
        <w:rPr>
          <w:rFonts w:ascii="Times New Roman" w:hAnsi="Times New Roman"/>
          <w:sz w:val="24"/>
        </w:rPr>
        <w:t xml:space="preserve"> Premije osiguranja su smanjene za 24% u odnosu na plan, a porasle za 16,33% u odnosu na prethodnu godinu budući da je porastao broj djece pa je zbog toga osiguranje iznosilo više u tekućoj godini.</w:t>
      </w:r>
    </w:p>
    <w:p>
      <w:pPr>
        <w:pStyle w:val="ListParagraph"/>
        <w:numPr>
          <w:ilvl w:val="1"/>
          <w:numId w:val="2"/>
        </w:numPr>
        <w:spacing w:lineRule="auto" w:line="252" w:before="0" w:after="0"/>
        <w:contextualSpacing/>
        <w:jc w:val="both"/>
        <w:rPr>
          <w:rFonts w:ascii="Times New Roman" w:hAnsi="Times New Roman"/>
          <w:sz w:val="24"/>
        </w:rPr>
      </w:pPr>
      <w:r>
        <w:rPr>
          <w:rFonts w:ascii="Times New Roman" w:hAnsi="Times New Roman"/>
          <w:b/>
          <w:bCs/>
          <w:sz w:val="24"/>
        </w:rPr>
        <w:t>3295 –</w:t>
      </w:r>
      <w:r>
        <w:rPr>
          <w:rFonts w:ascii="Times New Roman" w:hAnsi="Times New Roman"/>
          <w:sz w:val="24"/>
        </w:rPr>
        <w:t xml:space="preserve"> Pristojbe i naknade iznose 47,76€ te su iste kao prethodne godine i odnose se na naknadu za hrvatske vode.</w:t>
      </w:r>
    </w:p>
    <w:p>
      <w:pPr>
        <w:pStyle w:val="ListParagraph"/>
        <w:numPr>
          <w:ilvl w:val="1"/>
          <w:numId w:val="2"/>
        </w:numPr>
        <w:spacing w:lineRule="auto" w:line="252" w:before="0" w:after="0"/>
        <w:contextualSpacing/>
        <w:jc w:val="both"/>
        <w:rPr>
          <w:rFonts w:ascii="Times New Roman" w:hAnsi="Times New Roman"/>
          <w:sz w:val="24"/>
        </w:rPr>
      </w:pPr>
      <w:r>
        <w:rPr>
          <w:rFonts w:ascii="Times New Roman" w:hAnsi="Times New Roman"/>
          <w:b/>
          <w:bCs/>
          <w:sz w:val="24"/>
        </w:rPr>
        <w:t>3299 –</w:t>
      </w:r>
      <w:r>
        <w:rPr>
          <w:rFonts w:ascii="Times New Roman" w:hAnsi="Times New Roman"/>
          <w:sz w:val="24"/>
        </w:rPr>
        <w:t xml:space="preserve"> Ostali nespomenuti rashodi poslovanja su povećani za 334,99% u odnosu na prethodnu godinu jer su nabavljeni razni senzorni predmeti za razvoj percepcije i poticanje mašte kod djece te na ostali materijal za rad s djecom i poticanja njihove kreativnosti i fine motorike.</w:t>
      </w:r>
    </w:p>
    <w:p>
      <w:pPr>
        <w:pStyle w:val="ListParagraph"/>
        <w:numPr>
          <w:ilvl w:val="0"/>
          <w:numId w:val="2"/>
        </w:numPr>
        <w:spacing w:lineRule="auto" w:line="252" w:before="0" w:after="0"/>
        <w:contextualSpacing/>
        <w:jc w:val="both"/>
        <w:rPr>
          <w:rFonts w:ascii="Times New Roman" w:hAnsi="Times New Roman"/>
          <w:sz w:val="24"/>
        </w:rPr>
      </w:pPr>
      <w:r>
        <w:rPr>
          <w:rFonts w:ascii="Times New Roman" w:hAnsi="Times New Roman"/>
          <w:sz w:val="24"/>
        </w:rPr>
        <w:t>Rashodi za nabavu nefinancijske imovine iznose 237,70€, odnosno u tekućoj godini je nabavljena oprema odnosno radijator koji spada u odjeljak Opreme za održavanje i zaštitu.</w:t>
      </w:r>
    </w:p>
    <w:p>
      <w:pPr>
        <w:pStyle w:val="ListParagraph"/>
        <w:spacing w:lineRule="auto" w:line="252" w:before="0" w:after="0"/>
        <w:ind w:left="708" w:hanging="0"/>
        <w:contextualSpacing/>
        <w:jc w:val="both"/>
        <w:rPr>
          <w:rFonts w:ascii="Times New Roman" w:hAnsi="Times New Roman"/>
          <w:sz w:val="24"/>
        </w:rPr>
      </w:pPr>
      <w:r>
        <w:rPr>
          <w:rFonts w:ascii="Times New Roman" w:hAnsi="Times New Roman"/>
          <w:sz w:val="24"/>
        </w:rPr>
      </w:r>
    </w:p>
    <w:p>
      <w:pPr>
        <w:pStyle w:val="Normal"/>
        <w:rPr>
          <w:rFonts w:ascii="Times New Roman" w:hAnsi="Times New Roman"/>
          <w:b/>
          <w:b/>
          <w:bCs/>
          <w:sz w:val="24"/>
        </w:rPr>
      </w:pPr>
      <w:r>
        <w:rPr>
          <w:rFonts w:ascii="Times New Roman" w:hAnsi="Times New Roman"/>
          <w:b/>
          <w:bCs/>
          <w:sz w:val="24"/>
        </w:rPr>
      </w:r>
      <w:r>
        <w:br w:type="page"/>
      </w:r>
    </w:p>
    <w:p>
      <w:pPr>
        <w:pStyle w:val="Normal"/>
        <w:spacing w:lineRule="auto" w:line="252" w:before="0" w:after="0"/>
        <w:jc w:val="both"/>
        <w:rPr>
          <w:rFonts w:ascii="Times New Roman" w:hAnsi="Times New Roman"/>
          <w:sz w:val="24"/>
        </w:rPr>
      </w:pPr>
      <w:r>
        <w:rPr>
          <w:rFonts w:ascii="Times New Roman" w:hAnsi="Times New Roman"/>
          <w:sz w:val="24"/>
        </w:rPr>
        <w:t xml:space="preserve">Što se tiče podataka o stanju novčanih sredstava na računima proračunskog korisnika na početku i na kraju proračunske godine, stanje Ž-R iznosi 0,00€ budući da je Dječji vrtić 2019. godine prešao na riznicu i koristi jedinstveni račun Općine Gradac. Stoga, sredstva uplaćena u nadležni proračun proračunski korisnik potražuje od nadležnog proračuna. </w:t>
      </w:r>
    </w:p>
    <w:p>
      <w:pPr>
        <w:pStyle w:val="Normal"/>
        <w:spacing w:lineRule="auto" w:line="252" w:before="0" w:after="0"/>
        <w:jc w:val="both"/>
        <w:rPr>
          <w:rFonts w:ascii="Times New Roman" w:hAnsi="Times New Roman"/>
          <w:sz w:val="24"/>
        </w:rPr>
      </w:pPr>
      <w:r>
        <w:rPr>
          <w:rFonts w:ascii="Times New Roman" w:hAnsi="Times New Roman"/>
          <w:sz w:val="24"/>
        </w:rPr>
      </w:r>
    </w:p>
    <w:p>
      <w:pPr>
        <w:pStyle w:val="Normal"/>
        <w:spacing w:lineRule="auto" w:line="252" w:before="0" w:after="0"/>
        <w:jc w:val="both"/>
        <w:rPr>
          <w:rFonts w:ascii="Times New Roman" w:hAnsi="Times New Roman"/>
          <w:sz w:val="24"/>
        </w:rPr>
      </w:pPr>
      <w:r>
        <w:rPr>
          <w:rFonts w:ascii="Times New Roman" w:hAnsi="Times New Roman"/>
          <w:sz w:val="24"/>
        </w:rPr>
      </w:r>
    </w:p>
    <w:p>
      <w:pPr>
        <w:pStyle w:val="Normal"/>
        <w:spacing w:lineRule="auto" w:line="252" w:before="0" w:after="0"/>
        <w:jc w:val="both"/>
        <w:rPr>
          <w:rFonts w:ascii="Times New Roman" w:hAnsi="Times New Roman"/>
          <w:b/>
          <w:b/>
          <w:bCs/>
          <w:sz w:val="24"/>
        </w:rPr>
      </w:pPr>
      <w:r>
        <w:rPr>
          <w:rFonts w:ascii="Times New Roman" w:hAnsi="Times New Roman"/>
          <w:b/>
          <w:bCs/>
          <w:sz w:val="24"/>
        </w:rPr>
      </w:r>
    </w:p>
    <w:p>
      <w:pPr>
        <w:pStyle w:val="Normal"/>
        <w:spacing w:lineRule="auto" w:line="252" w:before="0" w:after="0"/>
        <w:jc w:val="both"/>
        <w:rPr>
          <w:rFonts w:ascii="Times New Roman" w:hAnsi="Times New Roman"/>
          <w:b/>
          <w:b/>
          <w:bCs/>
          <w:sz w:val="26"/>
          <w:szCs w:val="26"/>
        </w:rPr>
      </w:pPr>
      <w:r>
        <w:rPr>
          <w:rFonts w:ascii="Times New Roman" w:hAnsi="Times New Roman"/>
          <w:b/>
          <w:bCs/>
          <w:sz w:val="26"/>
          <w:szCs w:val="26"/>
        </w:rPr>
        <w:t>Obrazloženje posebnog dijela izvještaja o izvršenju financijskog plana proračunskog korisnika</w:t>
      </w:r>
    </w:p>
    <w:p>
      <w:pPr>
        <w:pStyle w:val="Normal"/>
        <w:spacing w:lineRule="auto" w:line="252" w:before="0" w:after="0"/>
        <w:jc w:val="both"/>
        <w:rPr>
          <w:rFonts w:ascii="Times New Roman" w:hAnsi="Times New Roman"/>
          <w:b/>
          <w:b/>
          <w:bCs/>
          <w:sz w:val="24"/>
        </w:rPr>
      </w:pPr>
      <w:r>
        <w:rPr>
          <w:rFonts w:ascii="Times New Roman" w:hAnsi="Times New Roman"/>
          <w:b/>
          <w:bCs/>
          <w:sz w:val="24"/>
        </w:rPr>
      </w:r>
    </w:p>
    <w:p>
      <w:pPr>
        <w:pStyle w:val="Normal"/>
        <w:spacing w:lineRule="auto" w:line="252" w:before="0" w:after="0"/>
        <w:jc w:val="both"/>
        <w:rPr>
          <w:rFonts w:ascii="Times New Roman" w:hAnsi="Times New Roman"/>
          <w:sz w:val="24"/>
        </w:rPr>
      </w:pPr>
      <w:r>
        <w:rPr>
          <w:rFonts w:ascii="Times New Roman" w:hAnsi="Times New Roman"/>
          <w:sz w:val="24"/>
        </w:rPr>
        <w:t>Sukladno članku 45., Pravilnika o polugodišnjem i godišnjem izvještaju o izvršenju proračuna obrazloženje posebnog dijela se odnosi na obrazloženje izvršenja programa koje se daje kroz obrazloženje aktivnosti i projekata zajedno s ciljevima koji su ostvareni provedbom programa i pokazateljima uspješnosti realizacije tih ciljeva koji se sastoje od pokazatelja učinka i pokazatelja rezultata.</w:t>
      </w:r>
    </w:p>
    <w:p>
      <w:pPr>
        <w:pStyle w:val="Normal"/>
        <w:spacing w:lineRule="auto" w:line="252" w:before="0" w:after="0"/>
        <w:jc w:val="both"/>
        <w:rPr>
          <w:rFonts w:ascii="Times New Roman" w:hAnsi="Times New Roman"/>
          <w:sz w:val="24"/>
        </w:rPr>
      </w:pPr>
      <w:r>
        <w:rPr>
          <w:rFonts w:ascii="Times New Roman" w:hAnsi="Times New Roman"/>
          <w:sz w:val="24"/>
        </w:rPr>
      </w:r>
    </w:p>
    <w:p>
      <w:pPr>
        <w:pStyle w:val="Normal"/>
        <w:spacing w:lineRule="auto" w:line="252" w:before="0" w:after="0"/>
        <w:jc w:val="both"/>
        <w:rPr>
          <w:rFonts w:ascii="Times New Roman" w:hAnsi="Times New Roman"/>
          <w:b/>
          <w:b/>
          <w:bCs/>
          <w:sz w:val="24"/>
        </w:rPr>
      </w:pPr>
      <w:r>
        <w:rPr>
          <w:rFonts w:ascii="Times New Roman" w:hAnsi="Times New Roman"/>
          <w:b/>
          <w:bCs/>
          <w:sz w:val="24"/>
        </w:rPr>
        <w:t>Program: Predškolski odgoj</w:t>
      </w:r>
    </w:p>
    <w:p>
      <w:pPr>
        <w:pStyle w:val="Normal"/>
        <w:spacing w:lineRule="auto" w:line="252" w:before="0" w:after="0"/>
        <w:jc w:val="both"/>
        <w:rPr>
          <w:rFonts w:ascii="Times New Roman" w:hAnsi="Times New Roman"/>
          <w:sz w:val="24"/>
        </w:rPr>
      </w:pPr>
      <w:r>
        <w:rPr>
          <w:rFonts w:ascii="Times New Roman" w:hAnsi="Times New Roman"/>
          <w:sz w:val="24"/>
        </w:rPr>
        <w:t xml:space="preserve">Dječji vrtić Gradac je javna predškolska ustanova čiji je osnivač Općina Gradac, a ima odjeljenja u Gradcu i Drveniku. Glavna djelatnost je predškolski odgoj, a odnosi se na naobrazbu te skrb djece predškolske dobi. </w:t>
      </w:r>
    </w:p>
    <w:p>
      <w:pPr>
        <w:pStyle w:val="Normal"/>
        <w:spacing w:lineRule="auto" w:line="252" w:before="0" w:after="0"/>
        <w:jc w:val="both"/>
        <w:rPr>
          <w:rFonts w:ascii="Times New Roman" w:hAnsi="Times New Roman"/>
          <w:sz w:val="24"/>
        </w:rPr>
      </w:pPr>
      <w:r>
        <w:rPr>
          <w:rFonts w:ascii="Times New Roman" w:hAnsi="Times New Roman"/>
          <w:sz w:val="24"/>
        </w:rPr>
        <w:t xml:space="preserve">Odgoj i obrazovanje se provodi na temelju Nacionalnog kurikuluma za rani i predškolski odgoj i obrazovanje te na temelju Kurikuluma Dječjeg vrtića koji donosi Upravno vijeće Dječjeg vrtića. Dječji vrtić obavlja djelatnost temeljem Godišnjeg plana i programa odgojno-obrazovnog rada koji se donosi za svaku pedagošku godinu. U skladu s djelatnosti, vrtić ostvaruje redovne programe njege, odgoja, obrazovanja, zdravstvene zaštite, prehrane i socijalne skrbi djece ranije i predškolske dobi. </w:t>
      </w:r>
    </w:p>
    <w:p>
      <w:pPr>
        <w:pStyle w:val="Normal"/>
        <w:spacing w:lineRule="auto" w:line="252" w:before="0" w:after="0"/>
        <w:jc w:val="both"/>
        <w:rPr>
          <w:rFonts w:ascii="Times New Roman" w:hAnsi="Times New Roman"/>
          <w:sz w:val="24"/>
        </w:rPr>
      </w:pPr>
      <w:r>
        <w:rPr>
          <w:rFonts w:ascii="Times New Roman" w:hAnsi="Times New Roman"/>
          <w:sz w:val="24"/>
        </w:rPr>
      </w:r>
    </w:p>
    <w:p>
      <w:pPr>
        <w:pStyle w:val="Normal"/>
        <w:spacing w:lineRule="auto" w:line="252" w:before="0" w:after="0"/>
        <w:jc w:val="both"/>
        <w:rPr>
          <w:rFonts w:ascii="Times New Roman" w:hAnsi="Times New Roman"/>
          <w:sz w:val="24"/>
        </w:rPr>
      </w:pPr>
      <w:r>
        <w:rPr>
          <w:rFonts w:ascii="Times New Roman" w:hAnsi="Times New Roman"/>
          <w:b/>
          <w:bCs/>
          <w:sz w:val="24"/>
        </w:rPr>
        <w:t>Aktivnost</w:t>
      </w:r>
      <w:r>
        <w:rPr>
          <w:rFonts w:ascii="Times New Roman" w:hAnsi="Times New Roman"/>
          <w:sz w:val="24"/>
        </w:rPr>
        <w:t xml:space="preserve">: </w:t>
      </w:r>
      <w:r>
        <w:rPr>
          <w:rFonts w:ascii="Times New Roman" w:hAnsi="Times New Roman"/>
          <w:b/>
          <w:bCs/>
          <w:sz w:val="24"/>
        </w:rPr>
        <w:t>Rad Dječjeg vrtića</w:t>
      </w:r>
    </w:p>
    <w:p>
      <w:pPr>
        <w:pStyle w:val="Normal"/>
        <w:spacing w:lineRule="auto" w:line="252" w:before="0" w:after="0"/>
        <w:jc w:val="both"/>
        <w:rPr>
          <w:rFonts w:ascii="Times New Roman" w:hAnsi="Times New Roman"/>
          <w:sz w:val="24"/>
        </w:rPr>
      </w:pPr>
      <w:r>
        <w:rPr>
          <w:rFonts w:ascii="Times New Roman" w:hAnsi="Times New Roman"/>
          <w:sz w:val="24"/>
        </w:rPr>
        <w:t>Ravnatelj vodi rad i poslovanje, predstavlja i zastupa Dječji vrtić, poduzima i odgovara za pravne radnje i zakonitost rada, predlaže Godišnji plan i program rada, provodi odluke Upravnog vijeća koje upravlja vrtićem, organizira rad i podnosi izvješće Upravnom vijeću te obavlja ostale poslove predviđene Zakonom o predškolskom odgoju i obrazovanju (NN 10/97, 107/07, 94/13,98/19,57/22,101/23 )</w:t>
      </w:r>
    </w:p>
    <w:p>
      <w:pPr>
        <w:pStyle w:val="Normal"/>
        <w:spacing w:lineRule="auto" w:line="252" w:before="0" w:after="0"/>
        <w:jc w:val="both"/>
        <w:rPr>
          <w:rFonts w:ascii="Times New Roman" w:hAnsi="Times New Roman"/>
          <w:sz w:val="24"/>
        </w:rPr>
      </w:pPr>
      <w:r>
        <w:rPr>
          <w:rFonts w:ascii="Times New Roman" w:hAnsi="Times New Roman"/>
          <w:sz w:val="24"/>
        </w:rPr>
      </w:r>
    </w:p>
    <w:p>
      <w:pPr>
        <w:pStyle w:val="Normal"/>
        <w:spacing w:lineRule="auto" w:line="252" w:before="0" w:after="0"/>
        <w:jc w:val="both"/>
        <w:rPr>
          <w:rFonts w:ascii="Times New Roman" w:hAnsi="Times New Roman"/>
          <w:sz w:val="24"/>
        </w:rPr>
      </w:pPr>
      <w:r>
        <w:rPr>
          <w:rFonts w:ascii="Times New Roman" w:hAnsi="Times New Roman"/>
          <w:sz w:val="24"/>
        </w:rPr>
        <w:t xml:space="preserve">Proračunski korisnik u svom posebnom dijelu izvještaja o izvršenju financijskog plana rashode poslovanja financira iz raznih izvora. Izvori iz općih prihoda i primitaka obuhvaćaju izvore iz nadležnog proračuna, vlastiti prihodi za financiranje rashoda koji su ostvareni od naplate korištenja usluge vrtića te rashodi financirani iz pomoći koje se odnose na pomoći od strane Ministarstva znanosti i obrazovanja. </w:t>
      </w:r>
    </w:p>
    <w:p>
      <w:pPr>
        <w:pStyle w:val="Normal"/>
        <w:spacing w:lineRule="auto" w:line="252" w:before="0" w:after="0"/>
        <w:jc w:val="both"/>
        <w:rPr>
          <w:rFonts w:ascii="Times New Roman" w:hAnsi="Times New Roman"/>
          <w:sz w:val="24"/>
        </w:rPr>
      </w:pPr>
      <w:r>
        <w:rPr>
          <w:rFonts w:ascii="Times New Roman" w:hAnsi="Times New Roman"/>
          <w:sz w:val="24"/>
        </w:rPr>
        <w:t xml:space="preserve">Rashodi Dječjeg vrtića iznose 259.447,38€, a odnose se na rashode za zaposlene, materijalne rashode i rashode za nabavu nefinancijske imovine. Iz izvještaja o izvršenju plana vidljivo je da su rashodi u tekućoj godini smanjeni za 13,51% u odnosu na plan za 2024. </w:t>
      </w:r>
    </w:p>
    <w:p>
      <w:pPr>
        <w:pStyle w:val="Normal"/>
        <w:spacing w:lineRule="auto" w:line="252" w:before="0" w:after="0"/>
        <w:jc w:val="both"/>
        <w:rPr>
          <w:rFonts w:ascii="Times New Roman" w:hAnsi="Times New Roman"/>
          <w:sz w:val="24"/>
        </w:rPr>
      </w:pPr>
      <w:r>
        <w:rPr>
          <w:rFonts w:ascii="Times New Roman" w:hAnsi="Times New Roman"/>
          <w:sz w:val="24"/>
        </w:rPr>
        <w:t xml:space="preserve">Materijalni rashodi koji su financirani iz nadležnog proračuna su smanjeni u odnosu na tekući plan za 54% budući da je u tekućoj godini otvorena vlastita kuhinja vrtića te dosadašnji troškovi koji su bili vezani uz prehranu su smanjeni što je rezultat istoga. Rashodi za nabavu nefinancijske imovine su također smanjeni za 76,23% budući da je kuhinja financirana najvećim dijelom iz nadležnog proračuna. </w:t>
      </w:r>
    </w:p>
    <w:p>
      <w:pPr>
        <w:pStyle w:val="Normal"/>
        <w:spacing w:lineRule="auto" w:line="252" w:before="0" w:after="0"/>
        <w:jc w:val="both"/>
        <w:rPr>
          <w:rFonts w:ascii="Times New Roman" w:hAnsi="Times New Roman"/>
          <w:sz w:val="24"/>
        </w:rPr>
      </w:pPr>
      <w:r>
        <w:rPr>
          <w:rFonts w:ascii="Times New Roman" w:hAnsi="Times New Roman"/>
          <w:sz w:val="24"/>
        </w:rPr>
        <w:t>Materijalni rashodi financirani iz vlastitih prihoda iznose 23.043,88€ te su također smanjeni za 15,9% u odnosu na plan. Međutim, prihodi su iznosili samo 21.716,75€ i premda je bilo previđeno više djece nego prošle godine planom se utrošilo više vlastitih sredstava te nije bilo pokrića za isto.</w:t>
      </w:r>
    </w:p>
    <w:p>
      <w:pPr>
        <w:pStyle w:val="Normal"/>
        <w:spacing w:lineRule="auto" w:line="252" w:before="0" w:after="0"/>
        <w:jc w:val="both"/>
        <w:rPr>
          <w:rFonts w:ascii="Times New Roman" w:hAnsi="Times New Roman"/>
          <w:sz w:val="24"/>
        </w:rPr>
      </w:pPr>
      <w:r>
        <w:rPr>
          <w:rFonts w:ascii="Times New Roman" w:hAnsi="Times New Roman"/>
          <w:sz w:val="24"/>
        </w:rPr>
        <w:t>Što se tiče izvora pomoći 5.1. kojim je pokrivena plaća kuhara isto je financirano iz nadležnog proračuna koji je odvojio dio sredstva dobivenih za fiskalnu održivosti Dječjih vrtića.</w:t>
      </w:r>
    </w:p>
    <w:p>
      <w:pPr>
        <w:pStyle w:val="Normal"/>
        <w:spacing w:lineRule="auto" w:line="252" w:before="0" w:after="0"/>
        <w:jc w:val="both"/>
        <w:rPr>
          <w:rFonts w:ascii="Times New Roman" w:hAnsi="Times New Roman" w:cs="Times New Roman"/>
          <w:sz w:val="24"/>
        </w:rPr>
      </w:pPr>
      <w:r>
        <w:rPr>
          <w:rFonts w:cs="Times New Roman" w:ascii="Times New Roman" w:hAnsi="Times New Roman"/>
          <w:sz w:val="24"/>
          <w:szCs w:val="24"/>
        </w:rPr>
        <w:t xml:space="preserve">Primici od strane Ministarstva znanosti i obrazovanja dobivenih za sufinanciranje programa javnih potreba u predškolskom odgoju i obrazovanju obuhvaćaju </w:t>
      </w:r>
      <w:r>
        <w:rPr>
          <w:rFonts w:cs="Times New Roman" w:ascii="Times New Roman" w:hAnsi="Times New Roman"/>
          <w:sz w:val="24"/>
        </w:rPr>
        <w:t xml:space="preserve">pomoći 5.2. </w:t>
      </w:r>
    </w:p>
    <w:p>
      <w:pPr>
        <w:pStyle w:val="Normal"/>
        <w:spacing w:lineRule="auto" w:line="252" w:before="0" w:after="0"/>
        <w:jc w:val="both"/>
        <w:rPr>
          <w:rFonts w:ascii="Times New Roman" w:hAnsi="Times New Roman" w:cs="Times New Roman"/>
          <w:sz w:val="24"/>
        </w:rPr>
      </w:pPr>
      <w:r>
        <w:rPr>
          <w:rFonts w:cs="Times New Roman" w:ascii="Times New Roman" w:hAnsi="Times New Roman"/>
          <w:sz w:val="24"/>
        </w:rPr>
        <w:t>Iznos sredstava od 1.247,80€ je utrošen namjenski na ostale materijalne rashode koji se odnose na nabavu didaktičkih sredstava potrebnih za provedbu verificiranih programa, nabavu suvremene literature i ostale potrebe da bi se povećala kvaliteta provedbe programa.</w:t>
      </w:r>
    </w:p>
    <w:p>
      <w:pPr>
        <w:pStyle w:val="Normal"/>
        <w:spacing w:lineRule="auto" w:line="252" w:before="0" w:after="0"/>
        <w:jc w:val="both"/>
        <w:rPr>
          <w:rFonts w:ascii="Times New Roman" w:hAnsi="Times New Roman" w:cs="Times New Roman"/>
          <w:sz w:val="24"/>
        </w:rPr>
      </w:pPr>
      <w:r>
        <w:rPr>
          <w:rFonts w:cs="Times New Roman" w:ascii="Times New Roman" w:hAnsi="Times New Roman"/>
          <w:sz w:val="24"/>
        </w:rPr>
      </w:r>
    </w:p>
    <w:p>
      <w:pPr>
        <w:pStyle w:val="Normal"/>
        <w:spacing w:lineRule="auto" w:line="252" w:before="0" w:after="0"/>
        <w:jc w:val="both"/>
        <w:rPr>
          <w:rFonts w:ascii="Times New Roman" w:hAnsi="Times New Roman" w:cs="Times New Roman"/>
          <w:sz w:val="24"/>
        </w:rPr>
      </w:pPr>
      <w:r>
        <w:rPr>
          <w:rFonts w:cs="Times New Roman" w:ascii="Times New Roman" w:hAnsi="Times New Roman"/>
          <w:sz w:val="24"/>
        </w:rPr>
        <w:t xml:space="preserve">Opći cilj Dječjeg vrtića Gradac se odnosi na redovan program predškolskog odgoja i obrazovanja te cjelodnevni rad dječjeg vrtića kojim se stvaraju i osiguravaju uvjeti i skrb za svu djecu predškolskog uzrasta na području Općine Gradac. Pokazatelj uspješnosti se odnosi na broj djece, broj odgojnih skupina te broj aktivnosti koje se provode u okviru redovne djelatnosti, a uz to je omogućen i rad s logopedom te nastavnicom engleskog jezika koji rade na ugovor o djelu. Obuhvaćajući sve navedeno </w:t>
      </w:r>
      <w:r>
        <w:rPr>
          <w:rFonts w:cs="Times New Roman" w:ascii="Times New Roman" w:hAnsi="Times New Roman"/>
          <w:b/>
          <w:bCs/>
          <w:sz w:val="24"/>
        </w:rPr>
        <w:t>ciljevi dječjeg vrtića i pokazatelji uspješnosti</w:t>
      </w:r>
      <w:r>
        <w:rPr>
          <w:rFonts w:cs="Times New Roman" w:ascii="Times New Roman" w:hAnsi="Times New Roman"/>
          <w:sz w:val="24"/>
        </w:rPr>
        <w:t xml:space="preserve"> su osigurati uvjete za potpunu sigurnost i zaštitu djece, podizati razinu kvalitete rada s djecom, stvoriti kulturu ustanove usmjerene na razumijevanje procesa istraživanja i učenja djece te razvijanje temeljnih kompetencija za cjeloživotno učenje. </w:t>
      </w:r>
    </w:p>
    <w:p>
      <w:pPr>
        <w:pStyle w:val="Normal"/>
        <w:spacing w:lineRule="auto" w:line="252" w:before="0" w:after="0"/>
        <w:jc w:val="both"/>
        <w:rPr>
          <w:rFonts w:ascii="Times New Roman" w:hAnsi="Times New Roman" w:cs="Times New Roman"/>
          <w:sz w:val="24"/>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2">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hr-H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hr-HR" w:eastAsia="en-US" w:bidi="ar-SA"/>
      <w14:ligatures w14:val="standardContextual"/>
    </w:rPr>
  </w:style>
  <w:style w:type="paragraph" w:styleId="Stilnaslova1">
    <w:name w:val="Heading 1"/>
    <w:basedOn w:val="Normal"/>
    <w:next w:val="Normal"/>
    <w:link w:val="Naslov1Char"/>
    <w:uiPriority w:val="9"/>
    <w:qFormat/>
    <w:rsid w:val="005a6086"/>
    <w:pPr>
      <w:keepNext w:val="true"/>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Stilnaslova2">
    <w:name w:val="Heading 2"/>
    <w:basedOn w:val="Normal"/>
    <w:next w:val="Normal"/>
    <w:link w:val="Naslov2Char"/>
    <w:uiPriority w:val="9"/>
    <w:semiHidden/>
    <w:unhideWhenUsed/>
    <w:qFormat/>
    <w:rsid w:val="005a6086"/>
    <w:pPr>
      <w:keepNext w:val="true"/>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Stilnaslova3">
    <w:name w:val="Heading 3"/>
    <w:basedOn w:val="Normal"/>
    <w:next w:val="Normal"/>
    <w:link w:val="Naslov3Char"/>
    <w:uiPriority w:val="9"/>
    <w:semiHidden/>
    <w:unhideWhenUsed/>
    <w:qFormat/>
    <w:rsid w:val="005a6086"/>
    <w:pPr>
      <w:keepNext w:val="true"/>
      <w:keepLines/>
      <w:spacing w:before="160" w:after="80"/>
      <w:outlineLvl w:val="2"/>
    </w:pPr>
    <w:rPr>
      <w:rFonts w:eastAsia="" w:cs="" w:cstheme="majorBidi" w:eastAsiaTheme="majorEastAsia"/>
      <w:color w:val="2F5496" w:themeColor="accent1" w:themeShade="bf"/>
      <w:sz w:val="28"/>
      <w:szCs w:val="28"/>
    </w:rPr>
  </w:style>
  <w:style w:type="paragraph" w:styleId="Stilnaslova4">
    <w:name w:val="Heading 4"/>
    <w:basedOn w:val="Normal"/>
    <w:next w:val="Normal"/>
    <w:link w:val="Naslov4Char"/>
    <w:uiPriority w:val="9"/>
    <w:semiHidden/>
    <w:unhideWhenUsed/>
    <w:qFormat/>
    <w:rsid w:val="005a6086"/>
    <w:pPr>
      <w:keepNext w:val="true"/>
      <w:keepLines/>
      <w:spacing w:before="80" w:after="40"/>
      <w:outlineLvl w:val="3"/>
    </w:pPr>
    <w:rPr>
      <w:rFonts w:eastAsia="" w:cs="" w:cstheme="majorBidi" w:eastAsiaTheme="majorEastAsia"/>
      <w:i/>
      <w:iCs/>
      <w:color w:val="2F5496" w:themeColor="accent1" w:themeShade="bf"/>
    </w:rPr>
  </w:style>
  <w:style w:type="paragraph" w:styleId="Stilnaslova5">
    <w:name w:val="Heading 5"/>
    <w:basedOn w:val="Normal"/>
    <w:next w:val="Normal"/>
    <w:link w:val="Naslov5Char"/>
    <w:uiPriority w:val="9"/>
    <w:semiHidden/>
    <w:unhideWhenUsed/>
    <w:qFormat/>
    <w:rsid w:val="005a6086"/>
    <w:pPr>
      <w:keepNext w:val="true"/>
      <w:keepLines/>
      <w:spacing w:before="80" w:after="40"/>
      <w:outlineLvl w:val="4"/>
    </w:pPr>
    <w:rPr>
      <w:rFonts w:eastAsia="" w:cs="" w:cstheme="majorBidi" w:eastAsiaTheme="majorEastAsia"/>
      <w:color w:val="2F5496" w:themeColor="accent1" w:themeShade="bf"/>
    </w:rPr>
  </w:style>
  <w:style w:type="paragraph" w:styleId="Stilnaslova6">
    <w:name w:val="Heading 6"/>
    <w:basedOn w:val="Normal"/>
    <w:next w:val="Normal"/>
    <w:link w:val="Naslov6Char"/>
    <w:uiPriority w:val="9"/>
    <w:semiHidden/>
    <w:unhideWhenUsed/>
    <w:qFormat/>
    <w:rsid w:val="005a6086"/>
    <w:pPr>
      <w:keepNext w:val="true"/>
      <w:keepLines/>
      <w:spacing w:before="40" w:after="0"/>
      <w:outlineLvl w:val="5"/>
    </w:pPr>
    <w:rPr>
      <w:rFonts w:eastAsia="" w:cs="" w:cstheme="majorBidi" w:eastAsiaTheme="majorEastAsia"/>
      <w:i/>
      <w:iCs/>
      <w:color w:val="595959" w:themeColor="text1" w:themeTint="a6"/>
    </w:rPr>
  </w:style>
  <w:style w:type="paragraph" w:styleId="Stilnaslova7">
    <w:name w:val="Heading 7"/>
    <w:basedOn w:val="Normal"/>
    <w:next w:val="Normal"/>
    <w:link w:val="Naslov7Char"/>
    <w:uiPriority w:val="9"/>
    <w:semiHidden/>
    <w:unhideWhenUsed/>
    <w:qFormat/>
    <w:rsid w:val="005a6086"/>
    <w:pPr>
      <w:keepNext w:val="true"/>
      <w:keepLines/>
      <w:spacing w:before="40" w:after="0"/>
      <w:outlineLvl w:val="6"/>
    </w:pPr>
    <w:rPr>
      <w:rFonts w:eastAsia="" w:cs="" w:cstheme="majorBidi" w:eastAsiaTheme="majorEastAsia"/>
      <w:color w:val="595959" w:themeColor="text1" w:themeTint="a6"/>
    </w:rPr>
  </w:style>
  <w:style w:type="paragraph" w:styleId="Stilnaslova8">
    <w:name w:val="Heading 8"/>
    <w:basedOn w:val="Normal"/>
    <w:next w:val="Normal"/>
    <w:link w:val="Naslov8Char"/>
    <w:uiPriority w:val="9"/>
    <w:semiHidden/>
    <w:unhideWhenUsed/>
    <w:qFormat/>
    <w:rsid w:val="005a6086"/>
    <w:pPr>
      <w:keepNext w:val="true"/>
      <w:keepLines/>
      <w:spacing w:before="0" w:after="0"/>
      <w:outlineLvl w:val="7"/>
    </w:pPr>
    <w:rPr>
      <w:rFonts w:eastAsia="" w:cs="" w:cstheme="majorBidi" w:eastAsiaTheme="majorEastAsia"/>
      <w:i/>
      <w:iCs/>
      <w:color w:val="272727" w:themeColor="text1" w:themeTint="d8"/>
    </w:rPr>
  </w:style>
  <w:style w:type="paragraph" w:styleId="Stilnaslova9">
    <w:name w:val="Heading 9"/>
    <w:basedOn w:val="Normal"/>
    <w:next w:val="Normal"/>
    <w:link w:val="Naslov9Char"/>
    <w:uiPriority w:val="9"/>
    <w:semiHidden/>
    <w:unhideWhenUsed/>
    <w:qFormat/>
    <w:rsid w:val="005a6086"/>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Naslov1Char" w:customStyle="1">
    <w:name w:val="Naslov 1 Char"/>
    <w:basedOn w:val="DefaultParagraphFont"/>
    <w:uiPriority w:val="9"/>
    <w:qFormat/>
    <w:rsid w:val="005a6086"/>
    <w:rPr>
      <w:rFonts w:ascii="Calibri Light" w:hAnsi="Calibri Light" w:eastAsia="" w:cs="" w:asciiTheme="majorHAnsi" w:cstheme="majorBidi" w:eastAsiaTheme="majorEastAsia" w:hAnsiTheme="majorHAnsi"/>
      <w:color w:val="2F5496" w:themeColor="accent1" w:themeShade="bf"/>
      <w:sz w:val="40"/>
      <w:szCs w:val="40"/>
    </w:rPr>
  </w:style>
  <w:style w:type="character" w:styleId="Naslov2Char" w:customStyle="1">
    <w:name w:val="Naslov 2 Char"/>
    <w:basedOn w:val="DefaultParagraphFont"/>
    <w:uiPriority w:val="9"/>
    <w:semiHidden/>
    <w:qFormat/>
    <w:rsid w:val="005a6086"/>
    <w:rPr>
      <w:rFonts w:ascii="Calibri Light" w:hAnsi="Calibri Light" w:eastAsia="" w:cs="" w:asciiTheme="majorHAnsi" w:cstheme="majorBidi" w:eastAsiaTheme="majorEastAsia" w:hAnsiTheme="majorHAnsi"/>
      <w:color w:val="2F5496" w:themeColor="accent1" w:themeShade="bf"/>
      <w:sz w:val="32"/>
      <w:szCs w:val="32"/>
    </w:rPr>
  </w:style>
  <w:style w:type="character" w:styleId="Naslov3Char" w:customStyle="1">
    <w:name w:val="Naslov 3 Char"/>
    <w:basedOn w:val="DefaultParagraphFont"/>
    <w:uiPriority w:val="9"/>
    <w:semiHidden/>
    <w:qFormat/>
    <w:rsid w:val="005a6086"/>
    <w:rPr>
      <w:rFonts w:eastAsia="" w:cs="" w:cstheme="majorBidi" w:eastAsiaTheme="majorEastAsia"/>
      <w:color w:val="2F5496" w:themeColor="accent1" w:themeShade="bf"/>
      <w:sz w:val="28"/>
      <w:szCs w:val="28"/>
    </w:rPr>
  </w:style>
  <w:style w:type="character" w:styleId="Naslov4Char" w:customStyle="1">
    <w:name w:val="Naslov 4 Char"/>
    <w:basedOn w:val="DefaultParagraphFont"/>
    <w:uiPriority w:val="9"/>
    <w:semiHidden/>
    <w:qFormat/>
    <w:rsid w:val="005a6086"/>
    <w:rPr>
      <w:rFonts w:eastAsia="" w:cs="" w:cstheme="majorBidi" w:eastAsiaTheme="majorEastAsia"/>
      <w:i/>
      <w:iCs/>
      <w:color w:val="2F5496" w:themeColor="accent1" w:themeShade="bf"/>
    </w:rPr>
  </w:style>
  <w:style w:type="character" w:styleId="Naslov5Char" w:customStyle="1">
    <w:name w:val="Naslov 5 Char"/>
    <w:basedOn w:val="DefaultParagraphFont"/>
    <w:uiPriority w:val="9"/>
    <w:semiHidden/>
    <w:qFormat/>
    <w:rsid w:val="005a6086"/>
    <w:rPr>
      <w:rFonts w:eastAsia="" w:cs="" w:cstheme="majorBidi" w:eastAsiaTheme="majorEastAsia"/>
      <w:color w:val="2F5496" w:themeColor="accent1" w:themeShade="bf"/>
    </w:rPr>
  </w:style>
  <w:style w:type="character" w:styleId="Naslov6Char" w:customStyle="1">
    <w:name w:val="Naslov 6 Char"/>
    <w:basedOn w:val="DefaultParagraphFont"/>
    <w:uiPriority w:val="9"/>
    <w:semiHidden/>
    <w:qFormat/>
    <w:rsid w:val="005a6086"/>
    <w:rPr>
      <w:rFonts w:eastAsia="" w:cs="" w:cstheme="majorBidi" w:eastAsiaTheme="majorEastAsia"/>
      <w:i/>
      <w:iCs/>
      <w:color w:val="595959" w:themeColor="text1" w:themeTint="a6"/>
    </w:rPr>
  </w:style>
  <w:style w:type="character" w:styleId="Naslov7Char" w:customStyle="1">
    <w:name w:val="Naslov 7 Char"/>
    <w:basedOn w:val="DefaultParagraphFont"/>
    <w:uiPriority w:val="9"/>
    <w:semiHidden/>
    <w:qFormat/>
    <w:rsid w:val="005a6086"/>
    <w:rPr>
      <w:rFonts w:eastAsia="" w:cs="" w:cstheme="majorBidi" w:eastAsiaTheme="majorEastAsia"/>
      <w:color w:val="595959" w:themeColor="text1" w:themeTint="a6"/>
    </w:rPr>
  </w:style>
  <w:style w:type="character" w:styleId="Naslov8Char" w:customStyle="1">
    <w:name w:val="Naslov 8 Char"/>
    <w:basedOn w:val="DefaultParagraphFont"/>
    <w:uiPriority w:val="9"/>
    <w:semiHidden/>
    <w:qFormat/>
    <w:rsid w:val="005a6086"/>
    <w:rPr>
      <w:rFonts w:eastAsia="" w:cs="" w:cstheme="majorBidi" w:eastAsiaTheme="majorEastAsia"/>
      <w:i/>
      <w:iCs/>
      <w:color w:val="272727" w:themeColor="text1" w:themeTint="d8"/>
    </w:rPr>
  </w:style>
  <w:style w:type="character" w:styleId="Naslov9Char" w:customStyle="1">
    <w:name w:val="Naslov 9 Char"/>
    <w:basedOn w:val="DefaultParagraphFont"/>
    <w:uiPriority w:val="9"/>
    <w:semiHidden/>
    <w:qFormat/>
    <w:rsid w:val="005a6086"/>
    <w:rPr>
      <w:rFonts w:eastAsia="" w:cs="" w:cstheme="majorBidi" w:eastAsiaTheme="majorEastAsia"/>
      <w:color w:val="272727" w:themeColor="text1" w:themeTint="d8"/>
    </w:rPr>
  </w:style>
  <w:style w:type="character" w:styleId="NaslovChar" w:customStyle="1">
    <w:name w:val="Naslov Char"/>
    <w:basedOn w:val="DefaultParagraphFont"/>
    <w:uiPriority w:val="10"/>
    <w:qFormat/>
    <w:rsid w:val="005a6086"/>
    <w:rPr>
      <w:rFonts w:ascii="Calibri Light" w:hAnsi="Calibri Light" w:eastAsia="" w:cs="" w:asciiTheme="majorHAnsi" w:cstheme="majorBidi" w:eastAsiaTheme="majorEastAsia" w:hAnsiTheme="majorHAnsi"/>
      <w:spacing w:val="-10"/>
      <w:kern w:val="2"/>
      <w:sz w:val="56"/>
      <w:szCs w:val="56"/>
    </w:rPr>
  </w:style>
  <w:style w:type="character" w:styleId="PodnaslovChar" w:customStyle="1">
    <w:name w:val="Podnaslov Char"/>
    <w:basedOn w:val="DefaultParagraphFont"/>
    <w:uiPriority w:val="11"/>
    <w:qFormat/>
    <w:rsid w:val="005a6086"/>
    <w:rPr>
      <w:rFonts w:eastAsia="" w:cs="" w:cstheme="majorBidi" w:eastAsiaTheme="majorEastAsia"/>
      <w:color w:val="595959" w:themeColor="text1" w:themeTint="a6"/>
      <w:spacing w:val="15"/>
      <w:sz w:val="28"/>
      <w:szCs w:val="28"/>
    </w:rPr>
  </w:style>
  <w:style w:type="character" w:styleId="CitatChar" w:customStyle="1">
    <w:name w:val="Citat Char"/>
    <w:basedOn w:val="DefaultParagraphFont"/>
    <w:link w:val="Quote"/>
    <w:uiPriority w:val="29"/>
    <w:qFormat/>
    <w:rsid w:val="005a6086"/>
    <w:rPr>
      <w:i/>
      <w:iCs/>
      <w:color w:val="404040" w:themeColor="text1" w:themeTint="bf"/>
    </w:rPr>
  </w:style>
  <w:style w:type="character" w:styleId="IntenseEmphasis">
    <w:name w:val="Intense Emphasis"/>
    <w:basedOn w:val="DefaultParagraphFont"/>
    <w:uiPriority w:val="21"/>
    <w:qFormat/>
    <w:rsid w:val="005a6086"/>
    <w:rPr>
      <w:i/>
      <w:iCs/>
      <w:color w:val="2F5496" w:themeColor="accent1" w:themeShade="bf"/>
    </w:rPr>
  </w:style>
  <w:style w:type="character" w:styleId="NaglaencitatChar" w:customStyle="1">
    <w:name w:val="Naglašen citat Char"/>
    <w:basedOn w:val="DefaultParagraphFont"/>
    <w:link w:val="IntenseQuote"/>
    <w:uiPriority w:val="30"/>
    <w:qFormat/>
    <w:rsid w:val="005a6086"/>
    <w:rPr>
      <w:i/>
      <w:iCs/>
      <w:color w:val="2F5496" w:themeColor="accent1" w:themeShade="bf"/>
    </w:rPr>
  </w:style>
  <w:style w:type="character" w:styleId="IntenseReference">
    <w:name w:val="Intense Reference"/>
    <w:basedOn w:val="DefaultParagraphFont"/>
    <w:uiPriority w:val="32"/>
    <w:qFormat/>
    <w:rsid w:val="005a6086"/>
    <w:rPr>
      <w:b/>
      <w:bCs/>
      <w:smallCaps/>
      <w:color w:val="2F5496" w:themeColor="accent1" w:themeShade="bf"/>
      <w:spacing w:val="5"/>
    </w:rPr>
  </w:style>
  <w:style w:type="paragraph" w:styleId="Stilnaslova">
    <w:name w:val="Stil naslova"/>
    <w:basedOn w:val="Normal"/>
    <w:next w:val="Tijeloteksta"/>
    <w:qFormat/>
    <w:pPr>
      <w:keepNext w:val="true"/>
      <w:spacing w:before="240" w:after="120"/>
    </w:pPr>
    <w:rPr>
      <w:rFonts w:ascii="Liberation Sans" w:hAnsi="Liberation Sans" w:eastAsia="Microsoft YaHei" w:cs="Lucida Sans"/>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Lucida Sans"/>
    </w:rPr>
  </w:style>
  <w:style w:type="paragraph" w:styleId="Opiselementa">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Naslov">
    <w:name w:val="Title"/>
    <w:basedOn w:val="Normal"/>
    <w:next w:val="Normal"/>
    <w:link w:val="NaslovChar"/>
    <w:uiPriority w:val="10"/>
    <w:qFormat/>
    <w:rsid w:val="005a6086"/>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Podnaslov">
    <w:name w:val="Subtitle"/>
    <w:basedOn w:val="Normal"/>
    <w:next w:val="Normal"/>
    <w:link w:val="PodnaslovChar"/>
    <w:uiPriority w:val="11"/>
    <w:qFormat/>
    <w:rsid w:val="005a6086"/>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tChar"/>
    <w:uiPriority w:val="29"/>
    <w:qFormat/>
    <w:rsid w:val="005a6086"/>
    <w:pPr>
      <w:spacing w:before="160" w:after="160"/>
      <w:jc w:val="center"/>
    </w:pPr>
    <w:rPr>
      <w:i/>
      <w:iCs/>
      <w:color w:val="404040" w:themeColor="text1" w:themeTint="bf"/>
    </w:rPr>
  </w:style>
  <w:style w:type="paragraph" w:styleId="ListParagraph">
    <w:name w:val="List Paragraph"/>
    <w:basedOn w:val="Normal"/>
    <w:uiPriority w:val="34"/>
    <w:qFormat/>
    <w:rsid w:val="005a6086"/>
    <w:pPr>
      <w:spacing w:before="0" w:after="160"/>
      <w:ind w:left="720" w:hanging="0"/>
      <w:contextualSpacing/>
    </w:pPr>
    <w:rPr/>
  </w:style>
  <w:style w:type="paragraph" w:styleId="IntenseQuote">
    <w:name w:val="Intense Quote"/>
    <w:basedOn w:val="Normal"/>
    <w:next w:val="Normal"/>
    <w:link w:val="NaglaencitatChar"/>
    <w:uiPriority w:val="30"/>
    <w:qFormat/>
    <w:rsid w:val="005a6086"/>
    <w:pPr>
      <w:pBdr>
        <w:top w:val="single" w:sz="4" w:space="10" w:color="2F5496"/>
        <w:bottom w:val="single" w:sz="4" w:space="10" w:color="2F5496"/>
      </w:pBdr>
      <w:spacing w:before="360" w:after="360"/>
      <w:ind w:left="864" w:right="864" w:hanging="0"/>
      <w:jc w:val="center"/>
    </w:pPr>
    <w:rPr>
      <w:i/>
      <w:iCs/>
      <w:color w:val="2F5496" w:themeColor="accent1" w:themeShade="bf"/>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1695</TotalTime>
  <Application>LibreOffice/7.3.2.2$Windows_X86_64 LibreOffice_project/49f2b1bff42cfccbd8f788c8dc32c1c309559be0</Application>
  <AppVersion>15.0000</AppVersion>
  <Pages>6</Pages>
  <Words>2444</Words>
  <Characters>13583</Characters>
  <CharactersWithSpaces>16035</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2025-02-25T08:00:00Z</dcterms:created>
  <dc:creator>Julija Šunjić</dc:creator>
  <dc:description/>
  <dc:language>hr-HR</dc:language>
  <cp:lastModifiedBy/>
  <dcterms:modified xsi:type="dcterms:W3CDTF">2025-03-27T13:52:16Z</dcterms:modified>
  <cp:revision>146</cp:revision>
  <dc:subject/>
  <dc:title/>
</cp:coreProperties>
</file>

<file path=docProps/custom.xml><?xml version="1.0" encoding="utf-8"?>
<Properties xmlns="http://schemas.openxmlformats.org/officeDocument/2006/custom-properties" xmlns:vt="http://schemas.openxmlformats.org/officeDocument/2006/docPropsVTypes"/>
</file>